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3B35" w14:textId="2387CB13" w:rsidR="008B4C82" w:rsidRPr="008B4C82" w:rsidRDefault="008B4C82" w:rsidP="008B4C82">
      <w:pPr>
        <w:spacing w:line="240" w:lineRule="auto"/>
        <w:rPr>
          <w:rFonts w:ascii="Arial" w:eastAsia="Times New Roman" w:hAnsi="Arial" w:cs="Arial"/>
          <w:kern w:val="0"/>
          <w:sz w:val="23"/>
          <w:szCs w:val="23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3"/>
          <w:szCs w:val="23"/>
          <w:lang w:eastAsia="en-CA"/>
          <w14:ligatures w14:val="none"/>
        </w:rPr>
        <w:t> </w:t>
      </w:r>
      <w:r w:rsidRPr="008B4C82">
        <w:rPr>
          <w:rFonts w:ascii="Arial" w:eastAsia="Times New Roman" w:hAnsi="Arial" w:cs="Arial"/>
          <w:b/>
          <w:bCs/>
          <w:kern w:val="0"/>
          <w:sz w:val="23"/>
          <w:szCs w:val="23"/>
          <w:lang w:eastAsia="en-CA"/>
          <w14:ligatures w14:val="none"/>
        </w:rPr>
        <w:t>PRAVILNIK</w:t>
      </w:r>
      <w:r w:rsidR="00DB1FA2">
        <w:rPr>
          <w:rFonts w:ascii="Arial" w:eastAsia="Times New Roman" w:hAnsi="Arial" w:cs="Arial"/>
          <w:b/>
          <w:bCs/>
          <w:kern w:val="0"/>
          <w:sz w:val="23"/>
          <w:szCs w:val="23"/>
          <w:lang w:eastAsia="en-CA"/>
          <w14:ligatures w14:val="none"/>
        </w:rPr>
        <w:t xml:space="preserve"> </w:t>
      </w:r>
      <w:r w:rsidRPr="008B4C82">
        <w:rPr>
          <w:rFonts w:ascii="Arial" w:eastAsia="Times New Roman" w:hAnsi="Arial" w:cs="Arial"/>
          <w:b/>
          <w:bCs/>
          <w:kern w:val="0"/>
          <w:sz w:val="23"/>
          <w:szCs w:val="23"/>
          <w:lang w:eastAsia="en-CA"/>
          <w14:ligatures w14:val="none"/>
        </w:rPr>
        <w:t xml:space="preserve">O ZDRAVSTVENOM NADZORU LICA PROFESIONALNO IZLOŽENIH JONIZUJUĆEM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23"/>
          <w:szCs w:val="23"/>
          <w:lang w:eastAsia="en-CA"/>
          <w14:ligatures w14:val="none"/>
        </w:rPr>
        <w:t>ZRAČENjU</w:t>
      </w:r>
      <w:proofErr w:type="spellEnd"/>
    </w:p>
    <w:p w14:paraId="35DC3500" w14:textId="77777777" w:rsidR="008B4C82" w:rsidRPr="008B4C82" w:rsidRDefault="008B4C82" w:rsidP="008B4C82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en-CA"/>
          <w14:ligatures w14:val="none"/>
        </w:rPr>
      </w:pPr>
      <w:r w:rsidRPr="008B4C82">
        <w:rPr>
          <w:rFonts w:ascii="Arial" w:eastAsia="Times New Roman" w:hAnsi="Arial" w:cs="Arial"/>
          <w:i/>
          <w:iCs/>
          <w:kern w:val="0"/>
          <w:sz w:val="23"/>
          <w:szCs w:val="23"/>
          <w:lang w:eastAsia="en-CA"/>
          <w14:ligatures w14:val="none"/>
        </w:rPr>
        <w:t xml:space="preserve">("Sl. </w:t>
      </w:r>
      <w:proofErr w:type="spellStart"/>
      <w:r w:rsidRPr="008B4C82">
        <w:rPr>
          <w:rFonts w:ascii="Arial" w:eastAsia="Times New Roman" w:hAnsi="Arial" w:cs="Arial"/>
          <w:i/>
          <w:iCs/>
          <w:kern w:val="0"/>
          <w:sz w:val="23"/>
          <w:szCs w:val="23"/>
          <w:lang w:eastAsia="en-CA"/>
          <w14:ligatures w14:val="none"/>
        </w:rPr>
        <w:t>glasnik</w:t>
      </w:r>
      <w:proofErr w:type="spellEnd"/>
      <w:r w:rsidRPr="008B4C82">
        <w:rPr>
          <w:rFonts w:ascii="Arial" w:eastAsia="Times New Roman" w:hAnsi="Arial" w:cs="Arial"/>
          <w:i/>
          <w:iCs/>
          <w:kern w:val="0"/>
          <w:sz w:val="23"/>
          <w:szCs w:val="23"/>
          <w:lang w:eastAsia="en-CA"/>
          <w14:ligatures w14:val="none"/>
        </w:rPr>
        <w:t xml:space="preserve"> BiH", br. 68/2015)</w:t>
      </w:r>
    </w:p>
    <w:p w14:paraId="36F943E2" w14:textId="5BEA052F" w:rsidR="008B4C82" w:rsidRDefault="008B4C82" w:rsidP="008B4C82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en-CA"/>
          <w14:ligatures w14:val="none"/>
        </w:rPr>
      </w:pPr>
    </w:p>
    <w:p w14:paraId="36CFA5BD" w14:textId="77777777" w:rsidR="008B4C82" w:rsidRPr="008B4C82" w:rsidRDefault="008B4C82" w:rsidP="008B4C82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en-CA"/>
          <w14:ligatures w14:val="none"/>
        </w:rPr>
      </w:pPr>
    </w:p>
    <w:p w14:paraId="13AE056D" w14:textId="77777777" w:rsidR="008B4C82" w:rsidRPr="008B4C82" w:rsidRDefault="008B4C82" w:rsidP="008B4C82">
      <w:pPr>
        <w:spacing w:after="0" w:line="240" w:lineRule="auto"/>
        <w:jc w:val="center"/>
        <w:rPr>
          <w:rFonts w:ascii="Arial" w:eastAsia="Times New Roman" w:hAnsi="Arial" w:cs="Arial"/>
          <w:kern w:val="0"/>
          <w:sz w:val="27"/>
          <w:szCs w:val="27"/>
          <w:lang w:eastAsia="en-CA"/>
          <w14:ligatures w14:val="none"/>
        </w:rPr>
      </w:pPr>
      <w:bookmarkStart w:id="0" w:name="str_1"/>
      <w:bookmarkEnd w:id="0"/>
      <w:r w:rsidRPr="008B4C82">
        <w:rPr>
          <w:rFonts w:ascii="Arial" w:eastAsia="Times New Roman" w:hAnsi="Arial" w:cs="Arial"/>
          <w:kern w:val="0"/>
          <w:sz w:val="27"/>
          <w:szCs w:val="27"/>
          <w:lang w:eastAsia="en-CA"/>
          <w14:ligatures w14:val="none"/>
        </w:rPr>
        <w:t>DIO PRVI - OPŠTE ODREDBE</w:t>
      </w:r>
    </w:p>
    <w:p w14:paraId="1612F5A6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1" w:name="clan_1"/>
      <w:bookmarkEnd w:id="1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1</w:t>
      </w:r>
    </w:p>
    <w:p w14:paraId="7066ACFB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Predmet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2E07048F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propisuju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uslovi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moraju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ispunjavati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kontrole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daljem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tekstu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učenika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studenata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kriterijumi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utvrđivanje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postupak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rokovi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način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ocjene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vođenje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čuvanje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druga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pitanja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značaja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nadzor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učenika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studenata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5E46A0AA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2" w:name="clan_2"/>
      <w:bookmarkEnd w:id="2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2</w:t>
      </w:r>
    </w:p>
    <w:p w14:paraId="568E74DF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Definicije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3226640E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Termini koji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koriste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imaju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sljedeće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značenje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05D94D26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-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registrovana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djelatnost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uspostavlja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opštu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specifičnu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kontrolu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učenika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studenata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to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autorizaciju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Državne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regulatorne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radijacionu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nuklearnu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bezbjednost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daljem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tekstu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Agencija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).</w:t>
      </w:r>
    </w:p>
    <w:p w14:paraId="7C71590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Biodozimetrija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-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laboratorijske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kliničke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metode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korišćene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mjerenje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procjenu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doze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apsorbovane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energije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Biodozimetrija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mjeri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spoljne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unutrašnje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ekspozicije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unutrašnjim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tkivima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23718AE2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Deterministički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efekti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-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radijacioni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efekti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doze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iznad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jačina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efekta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varira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55E9C70F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Doktor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daljem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tekstu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-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smislu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jeste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doktor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koji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nadležan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provođenje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kontrole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učenika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studenata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završenu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zaštite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važećim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048664D1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e)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učenik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student -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svako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unutar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izvan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jedne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bi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osposobilo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određenu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direktno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indirektno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vezanu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obuhvataju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ekspoziciju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32D65BA7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Granice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godinu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dana - 20 mSv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efektivnu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20 mSv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ekvivalentne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doze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sočivo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500 mSv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ekvivalentne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doze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kožu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ekstremitete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šake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podlaktice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stopala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gležnjeve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6486D235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lastRenderedPageBreak/>
        <w:t xml:space="preserve">g)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ekspozicija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-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ekspozicija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tokom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233B327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h)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-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procesu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nalazi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poljima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podvrgnuto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ekspoziciji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rezultirati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višim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granica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stanovništvo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310BD8B2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-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usljed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primiti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efektivnu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iznad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6 mSv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godišnje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godišnju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ekvivalentnu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veću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15 mSv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sočivo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godišnju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ekvivalentnu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veću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150 mSv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kožu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ekstremitete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šake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podlaktice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stopala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gležnjeve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2E84F9DC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j)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B -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kategorisano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A.</w:t>
      </w:r>
    </w:p>
    <w:p w14:paraId="3E72348E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k)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zadaci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-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zadaci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uključuju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ekspoziciju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prekoračiti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granica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stanovništvo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3E56F7F0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l)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Stohastički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efekti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-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radijacioni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efekti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čija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jačina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nezavisna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doze,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vjerovatnost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pojavljivanja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proporcionalna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bez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praga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doze.</w:t>
      </w:r>
    </w:p>
    <w:p w14:paraId="29728F8D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m)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Ekspertiza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-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posebno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znanje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poznavanje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oblasti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autoritetu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dozvoljava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procjenu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tumačenje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rezultata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nalaza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predmet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ekspertize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poznate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mehanizme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procedure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korišćenja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ekspertize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Rezultat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ekspertize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mora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dokumentovati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obliku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2AF9D423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3" w:name="clan_3"/>
      <w:bookmarkEnd w:id="3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3</w:t>
      </w:r>
    </w:p>
    <w:p w14:paraId="4D4C1A3B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Kontrola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stanja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7B972943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Kontrola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B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bazira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opštim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principima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7116FBC1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Kontrolu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uključuje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19C5043E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zaposlenja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klasifikacije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da bi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odredila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mjesto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A.</w:t>
      </w:r>
    </w:p>
    <w:p w14:paraId="36406C01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periodični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A, koji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jedanput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godišnje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cilju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određivanja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dalje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svojih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zadataka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Priroda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zavisi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individualnog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607C4604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vanredni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slučaju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ispunjeni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uslovi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12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1A96F7A0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indicirati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nastavak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kontrole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nakon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prestanka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koliko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god</w:t>
      </w:r>
      <w:proofErr w:type="gram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to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potrebnim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očuvanja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2CA66561" w14:textId="77777777" w:rsidR="008B4C82" w:rsidRPr="008B4C82" w:rsidRDefault="008B4C82" w:rsidP="008B4C82">
      <w:pPr>
        <w:spacing w:after="0" w:line="240" w:lineRule="auto"/>
        <w:jc w:val="center"/>
        <w:rPr>
          <w:rFonts w:ascii="Arial" w:eastAsia="Times New Roman" w:hAnsi="Arial" w:cs="Arial"/>
          <w:kern w:val="0"/>
          <w:sz w:val="27"/>
          <w:szCs w:val="27"/>
          <w:lang w:eastAsia="en-CA"/>
          <w14:ligatures w14:val="none"/>
        </w:rPr>
      </w:pPr>
      <w:bookmarkStart w:id="4" w:name="str_2"/>
      <w:bookmarkEnd w:id="4"/>
      <w:r w:rsidRPr="008B4C82">
        <w:rPr>
          <w:rFonts w:ascii="Arial" w:eastAsia="Times New Roman" w:hAnsi="Arial" w:cs="Arial"/>
          <w:kern w:val="0"/>
          <w:sz w:val="27"/>
          <w:szCs w:val="27"/>
          <w:lang w:eastAsia="en-CA"/>
          <w14:ligatures w14:val="none"/>
        </w:rPr>
        <w:t>DIO DRUGI - ZDRAVSTVENI PREGLEDI</w:t>
      </w:r>
    </w:p>
    <w:p w14:paraId="068C132F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5" w:name="clan_4"/>
      <w:bookmarkEnd w:id="5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lastRenderedPageBreak/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4</w:t>
      </w:r>
    </w:p>
    <w:p w14:paraId="46C8967D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Upućivanje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18421DE4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Nosilac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autorizacije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daljem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tekstu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: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nosilac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autorizacije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upućuje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3B817D8F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uputnicom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Aneksa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1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Obrazac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1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1BAA69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periodični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uputnicom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Aneksa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1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Obrazac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2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09618A5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vanredni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uputnicom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Aneksa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3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Obrazac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5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393C3C7F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Obrazovna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upućuje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učenike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studente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periodični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vanredni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uputnicama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56E9A3B6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Nosilac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autorizacije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obrazovna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popunjavaju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uputnice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primjerka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čemu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primjerak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dostavljaju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drugi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zadržavaju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svojoj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arhivi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5C3A5335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6" w:name="clan_5"/>
      <w:bookmarkEnd w:id="6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5</w:t>
      </w:r>
    </w:p>
    <w:p w14:paraId="44970D24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Saradnja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zdravstvenoj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kontroli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71E005B4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kontrole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učenika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studenata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postupku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ocjenjivanja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opštih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specifičnih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uslova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utvrdi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da je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ocjenu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neophodna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ranija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medicinska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dokumentacija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zahtijevati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medicinske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posjeduje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3A47AC3F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7" w:name="clan_6"/>
      <w:bookmarkEnd w:id="7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6</w:t>
      </w:r>
    </w:p>
    <w:p w14:paraId="6AA7CF6A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Promjena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autorizovane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ustanove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42CD103E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nosilac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autorizacije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angažova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novu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kontrolu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ta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podnosi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ranije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angažovanoj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dostavi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originalnu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medicinsku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ranije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izvršenim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4FF4E23B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Ranije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angažovana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dužna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novoangažovanoj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traženu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dostaviti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30 (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trideset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dana od dana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prijema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zahtjeva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kopiju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zadržati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vlastitoj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arhivi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0097C4C2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Prilikom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dostavljanja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dokumentacije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st.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moraju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poštovati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odredbe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važećih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propisa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koji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odnose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lična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pacijenata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zaštitu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ličnih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5963F95A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8" w:name="clan_7"/>
      <w:bookmarkEnd w:id="8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7</w:t>
      </w:r>
    </w:p>
    <w:p w14:paraId="6B61D859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Prethodni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23B5ADCB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0BD9081C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lastRenderedPageBreak/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početka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školovanja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rad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018D8F7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početka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4483772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promjene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118407B4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Cilj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da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procijeni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zadatke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utvrdi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da li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takvo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potrebne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predostrožnosti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vrijeme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11283E77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tačka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nosilac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autorizacije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vrši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školovanje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primiti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školovanje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bez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4FF105F0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(4) Osim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razloga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podliježe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imalo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prekid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duži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12 (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dvanaest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6C7DB68E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9" w:name="clan_8"/>
      <w:bookmarkEnd w:id="9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8</w:t>
      </w:r>
    </w:p>
    <w:p w14:paraId="2DD154C8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Posebni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zahtjevi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prethodnog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52AE4569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obratiti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posebnu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pažnju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02A9B54D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upotrebu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opreme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zaštitu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disajnih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zadaci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uključuju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korišćenje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takve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opreme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439CEA85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zadatke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otvorenim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boluje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bolesti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što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vrste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ekcema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psorijaza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.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slučajevima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odluka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bazirana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prirodi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stadijumu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bolesti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prirodi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navedenim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bolestima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rad s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otvorenim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nivoi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niski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preduzmu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odgovarajuće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zaštitne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mjere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što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pokrivanje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dijelova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75DDB5D9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zadataka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boluje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psihičkih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poremećaja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.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slučajevima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odlučivanju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voditi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računa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sigurnosnim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implikacijama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simptomatskih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epizoda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bolesti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primarno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da li to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predstavljati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opasnost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sebe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kolege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55964C41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učenika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studenata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pohađanje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01F82E5C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10" w:name="clan_9"/>
      <w:bookmarkEnd w:id="10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9</w:t>
      </w:r>
    </w:p>
    <w:p w14:paraId="2917439C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Sadržaj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prethodnog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7C897663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obuhvata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408FA615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Uvid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raniju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medicinsku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nemedicinsku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procjenu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radijacionog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rizika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1E33FAE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Anamnestičke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što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obuhvata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ličnu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porodičnu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anamnezu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sadašnjem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60EDE0F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Opšti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klinički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pretrage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što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obuhvata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6369DC35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lastRenderedPageBreak/>
        <w:t xml:space="preserve">I.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Fizikalni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organa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organskih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sistema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posebnim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osvrtom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status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,</w:t>
      </w:r>
    </w:p>
    <w:p w14:paraId="6F31D9A2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II.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Laboratorijske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pretrage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: SE, KKS, DKS, GUK,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urina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bilirubin, urea,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kreatinin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ALT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AST, ALP, LDH,</w:t>
      </w:r>
    </w:p>
    <w:p w14:paraId="667709C5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III. PA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snimak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pluća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indikacijama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,</w:t>
      </w:r>
    </w:p>
    <w:p w14:paraId="7FBEB662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IV.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Spirometriju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prema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indikacijama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,</w:t>
      </w:r>
    </w:p>
    <w:p w14:paraId="5267DC6A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V.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Audiometriju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,</w:t>
      </w:r>
    </w:p>
    <w:p w14:paraId="757FB070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VI. EKG.</w:t>
      </w:r>
    </w:p>
    <w:p w14:paraId="3EA0A209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d)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Psihološku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obradu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3751C1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Neurološki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psihijatrijski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EC3A2FB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Oftalmološki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2503DFE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g)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Ginekološki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žene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indiciranim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slučajevima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Papa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testom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klinički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dojki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B6705B2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h)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Kapilaroskopski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toku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direktnom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snopu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X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površinskoj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kontaminaciji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beta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emiterima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po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odluci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procjeni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rizika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A52885B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Ostale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odredi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obrazloženje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utvrđuje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zadataka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indirektno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utiču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sigurnost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primjene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0B45ED4B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11" w:name="clan_10"/>
      <w:bookmarkEnd w:id="11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10</w:t>
      </w:r>
    </w:p>
    <w:p w14:paraId="14AD0EBF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Periodični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A)</w:t>
      </w:r>
    </w:p>
    <w:p w14:paraId="4E1B6737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Periodični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svakih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12 (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dvanaest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vrše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praćenja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ocjene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rad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određenom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0C537ACE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Periodični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češće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roka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propisanog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stavu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obrazloženje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smatra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potrebnim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zavisno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799AF1CC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12" w:name="clan_11"/>
      <w:bookmarkEnd w:id="12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11</w:t>
      </w:r>
    </w:p>
    <w:p w14:paraId="483B0B75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Sadržaj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periodičnog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A)</w:t>
      </w:r>
    </w:p>
    <w:p w14:paraId="1C33542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Periodični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78305566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uzimanje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novih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anamnestičkih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uvid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lični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dozimetrijski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dozimetrijski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ocjenjivani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period;</w:t>
      </w:r>
      <w:proofErr w:type="gramEnd"/>
    </w:p>
    <w:p w14:paraId="71492635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klinički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pretrage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osim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oftalmologa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s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da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oftalmološki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svaka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24 (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dvadeset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četiri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mjeseca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E4BBEB6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ostale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odredi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indikacijama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5ADFFE8B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lastRenderedPageBreak/>
        <w:t xml:space="preserve">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Dodatni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dio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periodičnog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indikacijama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5E34FDB3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kapilaroskopski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toku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mogu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direktnom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snopu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X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površinskoj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kontaminaciji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beta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emiterima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po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odluci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procjeni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rizika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1F5A8C0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mjerenje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ukupne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radioaktivnosti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cijelom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tijelu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ključnim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slučaju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indikacija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85796BB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mjerenje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koncentracije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radionuklida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biološkim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uzorcima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slučaju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indikacija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33E5AA1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radiotoksikološko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ispitivanje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zavisno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radiotoksičnosti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ukupne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aktivnosti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radionuklida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procjeni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rizika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5A278C08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13" w:name="clan_12"/>
      <w:bookmarkEnd w:id="13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12</w:t>
      </w:r>
    </w:p>
    <w:p w14:paraId="3A33FBED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Vanredni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775497F3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Vanredni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primilo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iznad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godišnje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granice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efektivnu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ekvivalentnu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035631DA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Osim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slučajeva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vanredni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sumnje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došlo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unošenja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radionuklida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udisanjem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oralno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kontaminacijom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tijela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otvorenih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1CC33351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14" w:name="clan_13"/>
      <w:bookmarkEnd w:id="14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13</w:t>
      </w:r>
    </w:p>
    <w:p w14:paraId="079469F8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Sadržaj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vanrednog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terapijske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procedure)</w:t>
      </w:r>
    </w:p>
    <w:p w14:paraId="63B203C4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Vanredni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sadrži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3F476AA4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anamnestičke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1D2F9C2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opšti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klinički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indiciranim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laboratorijskim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pretragama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5C45BB3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biodozimetriju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analizom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hromozomskih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aberacija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ekspozicije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primilo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efektivnu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dozu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200 mSv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više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8FE9BCC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terapijske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procedure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procijenjene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spoljne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doze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cijelo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tijelo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organe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pragu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iznad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praga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doze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determinističke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efekte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3AABBCAC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Ostale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pretrage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način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tretmana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obrazloženje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određuje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sprovodi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specifičnu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zaštitu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zavisno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razloga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upućivanja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vanredni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6971EAF9" w14:textId="77777777" w:rsidR="008B4C82" w:rsidRPr="008B4C82" w:rsidRDefault="008B4C82" w:rsidP="008B4C82">
      <w:pPr>
        <w:spacing w:after="0" w:line="240" w:lineRule="auto"/>
        <w:jc w:val="center"/>
        <w:rPr>
          <w:rFonts w:ascii="Arial" w:eastAsia="Times New Roman" w:hAnsi="Arial" w:cs="Arial"/>
          <w:kern w:val="0"/>
          <w:sz w:val="27"/>
          <w:szCs w:val="27"/>
          <w:lang w:eastAsia="en-CA"/>
          <w14:ligatures w14:val="none"/>
        </w:rPr>
      </w:pPr>
      <w:bookmarkStart w:id="15" w:name="str_3"/>
      <w:bookmarkEnd w:id="15"/>
      <w:r w:rsidRPr="008B4C82">
        <w:rPr>
          <w:rFonts w:ascii="Arial" w:eastAsia="Times New Roman" w:hAnsi="Arial" w:cs="Arial"/>
          <w:kern w:val="0"/>
          <w:sz w:val="27"/>
          <w:szCs w:val="27"/>
          <w:lang w:eastAsia="en-CA"/>
          <w14:ligatures w14:val="none"/>
        </w:rPr>
        <w:t xml:space="preserve">DIO TREĆI - MEDICINSKA </w:t>
      </w:r>
      <w:proofErr w:type="spellStart"/>
      <w:r w:rsidRPr="008B4C82">
        <w:rPr>
          <w:rFonts w:ascii="Arial" w:eastAsia="Times New Roman" w:hAnsi="Arial" w:cs="Arial"/>
          <w:kern w:val="0"/>
          <w:sz w:val="27"/>
          <w:szCs w:val="27"/>
          <w:lang w:eastAsia="en-CA"/>
          <w14:ligatures w14:val="none"/>
        </w:rPr>
        <w:t>OGRANIČENjA</w:t>
      </w:r>
      <w:proofErr w:type="spellEnd"/>
      <w:r w:rsidRPr="008B4C82">
        <w:rPr>
          <w:rFonts w:ascii="Arial" w:eastAsia="Times New Roman" w:hAnsi="Arial" w:cs="Arial"/>
          <w:kern w:val="0"/>
          <w:sz w:val="27"/>
          <w:szCs w:val="27"/>
          <w:lang w:eastAsia="en-CA"/>
          <w14:ligatures w14:val="none"/>
        </w:rPr>
        <w:t xml:space="preserve"> I POSEBAN NADZOR</w:t>
      </w:r>
    </w:p>
    <w:p w14:paraId="52504027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16" w:name="clan_14"/>
      <w:bookmarkEnd w:id="16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14</w:t>
      </w:r>
    </w:p>
    <w:p w14:paraId="6BB9EF02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Medicinska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ograničenja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57130D92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oboli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maligne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bolesti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uključujući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slučaj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da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bilo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podvrgnuto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radioterapijskom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tretmanu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ono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nesposobno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rad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10FC7EF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lastRenderedPageBreak/>
        <w:t xml:space="preserve">(2)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slučaju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navedenom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stavu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(1),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slučajevima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8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tačke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a), 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rad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treba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procijeniti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individualno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vodeći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računa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o:</w:t>
      </w:r>
    </w:p>
    <w:p w14:paraId="419FBD45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kvalitetu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izliječenja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82CDD5B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opštoj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prognozi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drugim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implikacijama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C34A501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razumijevanju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željama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AAAF300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prirodi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zadataka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3B392676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17" w:name="clan_15"/>
      <w:bookmarkEnd w:id="17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15</w:t>
      </w:r>
    </w:p>
    <w:p w14:paraId="1A854015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Savjetodavni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poseban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nadzor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04F8167C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Pod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stalnim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savjetodavnim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posebnim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nadzorom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moraju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sljedeća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3C835702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ženskog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momenta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začeća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pa do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kraja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trudnoće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5ADB7E7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ženskog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dojenja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474DA0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zabrinuta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ekspozicije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1DD38D3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određenim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preporukama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;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npr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.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odstupanje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hematoloških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testova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5%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normalnih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vrijednosti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periodičnih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čine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nesposobnim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taj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posao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nego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zahtijeva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ponavljanje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pretrage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30 (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trideset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dana,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dalji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nadzor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ED9E147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imaju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značajne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promjene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7A42679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prestane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odnos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postoji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mogućnost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ranije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ekspozicije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6F64ED4F" w14:textId="77777777" w:rsidR="008B4C82" w:rsidRPr="008B4C82" w:rsidRDefault="008B4C82" w:rsidP="008B4C82">
      <w:pPr>
        <w:spacing w:after="0" w:line="240" w:lineRule="auto"/>
        <w:jc w:val="center"/>
        <w:rPr>
          <w:rFonts w:ascii="Arial" w:eastAsia="Times New Roman" w:hAnsi="Arial" w:cs="Arial"/>
          <w:kern w:val="0"/>
          <w:sz w:val="27"/>
          <w:szCs w:val="27"/>
          <w:lang w:eastAsia="en-CA"/>
          <w14:ligatures w14:val="none"/>
        </w:rPr>
      </w:pPr>
      <w:bookmarkStart w:id="18" w:name="str_4"/>
      <w:bookmarkEnd w:id="18"/>
      <w:r w:rsidRPr="008B4C82">
        <w:rPr>
          <w:rFonts w:ascii="Arial" w:eastAsia="Times New Roman" w:hAnsi="Arial" w:cs="Arial"/>
          <w:kern w:val="0"/>
          <w:sz w:val="27"/>
          <w:szCs w:val="27"/>
          <w:lang w:eastAsia="en-CA"/>
          <w14:ligatures w14:val="none"/>
        </w:rPr>
        <w:t>DIO ČETVRTI - MEDICINSKA KLASIFIKACIJA, OCJENA SPOSOBNOSTI I IZVJEŠTAJI</w:t>
      </w:r>
    </w:p>
    <w:p w14:paraId="0DF0EB8F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19" w:name="clan_16"/>
      <w:bookmarkEnd w:id="19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16</w:t>
      </w:r>
    </w:p>
    <w:p w14:paraId="6E898A2A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Medicinska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klasifikacija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2D865675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Ocjena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zadataka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15AFA13F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Sposoban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DC9A01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Sposoban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sljedećim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uslovom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uslovima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preporukom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B0F60A9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Nesposoban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67FBDFC0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Ocjena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upisuje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u:</w:t>
      </w:r>
    </w:p>
    <w:p w14:paraId="44C3B6F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34F295A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periodičnom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EF232B2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lastRenderedPageBreak/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karton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protokol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C8F97B4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sprovedenoj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ekspertizi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posebnim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slučajevima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4BBBA157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20" w:name="clan_17"/>
      <w:bookmarkEnd w:id="20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17</w:t>
      </w:r>
    </w:p>
    <w:p w14:paraId="78297559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Ocjena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6987C300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Ocjenjvanje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zadataka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1850D7F4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orijentacije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učenika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studenata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uključuju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ekspoziciju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0797644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zapošljavanja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promjene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EBB0B9B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periodičnog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8B931B7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vanrednog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događaja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3B535CA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postojanja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sumnje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oboljenje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potvrđenog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oboljenja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9DD46F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postojanja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oboljenja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navedenih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8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tačke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c).</w:t>
      </w:r>
    </w:p>
    <w:p w14:paraId="38F887F6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Lice se 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smije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zaposliti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mjesto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potpada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pod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klasifikovati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određeno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mjesto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ocijenila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rad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tom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mjestu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3184C98D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21" w:name="clan_18"/>
      <w:bookmarkEnd w:id="21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18</w:t>
      </w:r>
    </w:p>
    <w:p w14:paraId="4E34F040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karton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5FF1B2C5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odnosno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praćenja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svakog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kategorije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vodi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karton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uključuje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56642281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anamnezu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prirodu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A8CA121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periodičnom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00E48E7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vanrednim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pretragama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zbog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prekoračenja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granica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doze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ukoliko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F0F9E8F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rezultate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individualnog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monitoringa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monitoringa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3542A93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podatke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oboljenjima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način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tretmana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596297F1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f)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druge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bolesti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način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tretmana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366BE725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22" w:name="clan_19"/>
      <w:bookmarkEnd w:id="22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19</w:t>
      </w:r>
    </w:p>
    <w:p w14:paraId="648F542D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Izvještaj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zdravstvenom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pregledu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699D251A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lastRenderedPageBreak/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izvršenom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periodičnom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koji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dati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Obrascu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3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Obrascu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4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Aneksa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2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ispunjavaju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četiri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primjerka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nosiocu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autorizacije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djelatnosti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izvorima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primjerak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primjerak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zadržava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4CA53FB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Jedan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primjerak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godišnji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zbirni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analizom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podataka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Agenciji.</w:t>
      </w:r>
    </w:p>
    <w:p w14:paraId="7A8A578C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potpisuju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faksimilom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ovjeravaju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direktor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284D90AB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23" w:name="clan_20"/>
      <w:bookmarkEnd w:id="23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20</w:t>
      </w:r>
    </w:p>
    <w:p w14:paraId="42B3BEDF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Ekspertiza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04AE472F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Sprovođenje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ekspertize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određuje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sljedećim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slučajevima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2CED8535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vanrednog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2F1BFF66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tretmana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bolesti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posljedica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6021A7EC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sumnje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oboljenje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potvrde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oboljenja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0633E799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oboljenja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povreda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dužom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privremenom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trajnom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nesposobnošću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10488A6A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zahtjev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institucije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zaposleno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lice.</w:t>
      </w:r>
    </w:p>
    <w:p w14:paraId="49F2AFF7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provedenoj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ekspertizi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potpisuje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ekspertska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grupa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formira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saglasnost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Agencije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7E557E0E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Ekspertsku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grupu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trebaju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činiti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</w:t>
      </w:r>
    </w:p>
    <w:p w14:paraId="30D1CB6F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jedan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zaposlen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gdje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ljekarski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7B762DF9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doktor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radijacione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onkologije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radiodijagnostike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nuklearne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medicine;</w:t>
      </w:r>
      <w:proofErr w:type="gramEnd"/>
    </w:p>
    <w:p w14:paraId="7FCEA2B0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medicinske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fizike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ekspert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zaštitu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3544363F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(4)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Ekspertiza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izdaje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u pet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primjeraka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i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dostavlja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se:</w:t>
      </w:r>
      <w:proofErr w:type="gramEnd"/>
    </w:p>
    <w:p w14:paraId="14E1CF8E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a)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izloženom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licu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35E424B2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b)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nosiocu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autorizacije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za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obavljanje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djelatnosti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val="fr-FR" w:eastAsia="en-CA"/>
          <w14:ligatures w14:val="none"/>
        </w:rPr>
        <w:t>;</w:t>
      </w:r>
      <w:proofErr w:type="gramEnd"/>
    </w:p>
    <w:p w14:paraId="0C609DA7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c) </w:t>
      </w:r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Agenciji;</w:t>
      </w:r>
      <w:proofErr w:type="gramEnd"/>
    </w:p>
    <w:p w14:paraId="718CD31A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d)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nadležnom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ministarstvu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proofErr w:type="gram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;</w:t>
      </w:r>
      <w:proofErr w:type="gramEnd"/>
    </w:p>
    <w:p w14:paraId="428B7891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e)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arhivi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7B9D30B5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24" w:name="clan_21"/>
      <w:bookmarkEnd w:id="24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21</w:t>
      </w:r>
    </w:p>
    <w:p w14:paraId="58628E62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Privremena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trajna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nesposobnost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57FD1E8A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lastRenderedPageBreak/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privremene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duže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12 (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dvanaest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mjeseci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postupa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po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odredbama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važećeg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zakona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osiguranju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trajne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važećem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zakonu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penzijsko</w:t>
      </w:r>
      <w:r w:rsidRPr="008B4C82">
        <w:rPr>
          <w:rFonts w:ascii="Cambria Math" w:eastAsia="Times New Roman" w:hAnsi="Cambria Math" w:cs="Cambria Math"/>
          <w:kern w:val="0"/>
          <w:sz w:val="24"/>
          <w:szCs w:val="24"/>
          <w:lang w:eastAsia="en-CA"/>
          <w14:ligatures w14:val="none"/>
        </w:rPr>
        <w:t>‐</w:t>
      </w: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invalidskom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osiguranju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bolesti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24898547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Kod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izliječenih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saniranih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bolesti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bile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razlog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odluku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nesposobnosti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zadataka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vrši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ponovnu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procjenu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tog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uvažavanje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razumijevanja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želja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4ACAB2E8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25" w:name="clan_22"/>
      <w:bookmarkEnd w:id="25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22</w:t>
      </w:r>
    </w:p>
    <w:p w14:paraId="5D3E5E5F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Rokovi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za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ocjenu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3CB75886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izvršenom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prethodnom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periodičnom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dostavljaju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10 (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deset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dana od dana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početka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30 (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trideset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dana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ako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potrebna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dodatna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medicinska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60CBE9BD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Zbirni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godišnji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izvještaj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Agenciji do 31.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januara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naredne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godine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09D2E86E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(3)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Ekspertiza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20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dostavlja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subjektima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20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stav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(4)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najkasnije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roku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30 (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trideset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) dana.</w:t>
      </w:r>
    </w:p>
    <w:p w14:paraId="7B2B8598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26" w:name="clan_23"/>
      <w:bookmarkEnd w:id="26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23</w:t>
      </w:r>
    </w:p>
    <w:p w14:paraId="4FB11CEB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Čuvanje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medicinske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dokumentacije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58AF313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Medicinsku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osnovu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donesena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ocjena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sposobnosti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kao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drugu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medicinsku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dokumentaciju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. 18, 19, 20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21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autorizovana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ustanova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dužna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je da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čuva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lice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napuni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75 (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sedamdeset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pet)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života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ili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svakom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slučaju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najmanje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30 (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trideset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godina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od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završetka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posla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uključuje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ekspoziciju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540026FB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(2)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Medicinska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dokumentacija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stava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(1)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člana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mora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raspolaganju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nadležnim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organima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24E44BC5" w14:textId="77777777" w:rsidR="008B4C82" w:rsidRPr="008B4C82" w:rsidRDefault="008B4C82" w:rsidP="008B4C82">
      <w:pPr>
        <w:spacing w:after="0" w:line="240" w:lineRule="auto"/>
        <w:jc w:val="center"/>
        <w:rPr>
          <w:rFonts w:ascii="Arial" w:eastAsia="Times New Roman" w:hAnsi="Arial" w:cs="Arial"/>
          <w:kern w:val="0"/>
          <w:sz w:val="27"/>
          <w:szCs w:val="27"/>
          <w:lang w:eastAsia="en-CA"/>
          <w14:ligatures w14:val="none"/>
        </w:rPr>
      </w:pPr>
      <w:bookmarkStart w:id="27" w:name="str_5"/>
      <w:bookmarkEnd w:id="27"/>
      <w:r w:rsidRPr="008B4C82">
        <w:rPr>
          <w:rFonts w:ascii="Arial" w:eastAsia="Times New Roman" w:hAnsi="Arial" w:cs="Arial"/>
          <w:kern w:val="0"/>
          <w:sz w:val="27"/>
          <w:szCs w:val="27"/>
          <w:lang w:eastAsia="en-CA"/>
          <w14:ligatures w14:val="none"/>
        </w:rPr>
        <w:t>DIO PETI - ZAVRŠNE ODREDBE</w:t>
      </w:r>
    </w:p>
    <w:p w14:paraId="653B7D36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28" w:name="clan_24"/>
      <w:bookmarkEnd w:id="28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24</w:t>
      </w:r>
    </w:p>
    <w:p w14:paraId="363F66BF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Žalbe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395576F8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Na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odluke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skladu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donosi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specijalista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medicine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rada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može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se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izjaviti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žalba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važećim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propisima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Bosni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Hercegovini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koji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regulišu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pacijenata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.</w:t>
      </w:r>
    </w:p>
    <w:p w14:paraId="1EC1C9CF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29" w:name="clan_25"/>
      <w:bookmarkEnd w:id="29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25</w:t>
      </w:r>
    </w:p>
    <w:p w14:paraId="0B67C924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Prestanak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primjene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279C33BC" w14:textId="77777777" w:rsidR="008B4C82" w:rsidRPr="008B4C82" w:rsidRDefault="008B4C82" w:rsidP="008B4C82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Danom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stupanja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snagu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prestaje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važi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o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autorizaciji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koja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preglede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načinu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obavljanja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zdravstvenih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pregleda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lica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profesionalno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izloženih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jonizujućem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zračenju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("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Službeni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glasnik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BiH",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broj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25/12).</w:t>
      </w:r>
    </w:p>
    <w:p w14:paraId="2E797BFB" w14:textId="77777777" w:rsidR="008B4C82" w:rsidRPr="008B4C82" w:rsidRDefault="008B4C82" w:rsidP="008B4C8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</w:pPr>
      <w:bookmarkStart w:id="30" w:name="clan_26"/>
      <w:bookmarkEnd w:id="30"/>
      <w:proofErr w:type="spellStart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lastRenderedPageBreak/>
        <w:t>Član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21"/>
          <w:szCs w:val="21"/>
          <w:lang w:eastAsia="en-CA"/>
          <w14:ligatures w14:val="none"/>
        </w:rPr>
        <w:t xml:space="preserve"> 26</w:t>
      </w:r>
    </w:p>
    <w:p w14:paraId="05960702" w14:textId="77777777" w:rsidR="008B4C82" w:rsidRPr="008B4C82" w:rsidRDefault="008B4C82" w:rsidP="008B4C82">
      <w:pPr>
        <w:spacing w:after="150" w:line="240" w:lineRule="auto"/>
        <w:jc w:val="center"/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</w:pPr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(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Stupanje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snagu</w:t>
      </w:r>
      <w:proofErr w:type="spellEnd"/>
      <w:r w:rsidRPr="008B4C82">
        <w:rPr>
          <w:rFonts w:ascii="Arial" w:eastAsia="Times New Roman" w:hAnsi="Arial" w:cs="Arial"/>
          <w:b/>
          <w:bCs/>
          <w:kern w:val="0"/>
          <w:sz w:val="19"/>
          <w:szCs w:val="19"/>
          <w:lang w:eastAsia="en-CA"/>
          <w14:ligatures w14:val="none"/>
        </w:rPr>
        <w:t>)</w:t>
      </w:r>
    </w:p>
    <w:p w14:paraId="0958F5C7" w14:textId="178E0071" w:rsidR="008B4C82" w:rsidRPr="008B4C82" w:rsidRDefault="008B4C82" w:rsidP="00982167">
      <w:pPr>
        <w:spacing w:after="15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Ovaj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pravilnik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stupa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na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snagu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osmog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dana od dana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objavljivanja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u "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Službenom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</w:t>
      </w:r>
      <w:proofErr w:type="spellStart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glasniku</w:t>
      </w:r>
      <w:proofErr w:type="spellEnd"/>
      <w:r w:rsidRPr="008B4C82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 xml:space="preserve"> BiH".</w:t>
      </w:r>
    </w:p>
    <w:p w14:paraId="368CC7EC" w14:textId="77777777" w:rsidR="008B4C82" w:rsidRPr="008B4C82" w:rsidRDefault="008B4C82" w:rsidP="00BB486F">
      <w:pPr>
        <w:spacing w:after="0" w:line="240" w:lineRule="auto"/>
        <w:rPr>
          <w:rFonts w:ascii="Open Sans" w:eastAsia="Times New Roman" w:hAnsi="Open Sans" w:cs="Open Sans"/>
          <w:color w:val="FFFFFF"/>
          <w:kern w:val="0"/>
          <w:sz w:val="18"/>
          <w:szCs w:val="18"/>
          <w:lang w:eastAsia="en-CA"/>
          <w14:ligatures w14:val="none"/>
        </w:rPr>
      </w:pPr>
      <w:r w:rsidRPr="008B4C82">
        <w:rPr>
          <w:rFonts w:ascii="Open Sans" w:eastAsia="Times New Roman" w:hAnsi="Open Sans" w:cs="Open Sans"/>
          <w:color w:val="FFFFFF"/>
          <w:kern w:val="0"/>
          <w:sz w:val="18"/>
          <w:szCs w:val="18"/>
          <w:lang w:eastAsia="en-CA"/>
          <w14:ligatures w14:val="none"/>
        </w:rPr>
        <w:br/>
      </w:r>
      <w:r w:rsidRPr="008B4C82">
        <w:rPr>
          <w:rFonts w:ascii="Open Sans" w:eastAsia="Times New Roman" w:hAnsi="Open Sans" w:cs="Open Sans"/>
          <w:b/>
          <w:bCs/>
          <w:color w:val="FFFFFF"/>
          <w:kern w:val="0"/>
          <w:sz w:val="18"/>
          <w:szCs w:val="18"/>
          <w:lang w:eastAsia="en-CA"/>
          <w14:ligatures w14:val="none"/>
        </w:rPr>
        <w:t>BIJELJINA</w:t>
      </w:r>
    </w:p>
    <w:p w14:paraId="51DE8A71" w14:textId="77777777" w:rsidR="008B4C82" w:rsidRPr="008B4C82" w:rsidRDefault="008B4C82" w:rsidP="008B4C82">
      <w:pPr>
        <w:spacing w:after="150" w:line="240" w:lineRule="auto"/>
        <w:jc w:val="center"/>
        <w:rPr>
          <w:rFonts w:ascii="Open Sans" w:eastAsia="Times New Roman" w:hAnsi="Open Sans" w:cs="Open Sans"/>
          <w:color w:val="FFFFFF"/>
          <w:kern w:val="0"/>
          <w:sz w:val="18"/>
          <w:szCs w:val="18"/>
          <w:lang w:eastAsia="en-CA"/>
          <w14:ligatures w14:val="none"/>
        </w:rPr>
      </w:pPr>
      <w:r w:rsidRPr="008B4C82">
        <w:rPr>
          <w:rFonts w:ascii="Open Sans" w:eastAsia="Times New Roman" w:hAnsi="Open Sans" w:cs="Open Sans"/>
          <w:color w:val="FFFFFF"/>
          <w:kern w:val="0"/>
          <w:sz w:val="18"/>
          <w:szCs w:val="18"/>
          <w:lang w:eastAsia="en-CA"/>
          <w14:ligatures w14:val="none"/>
        </w:rPr>
        <w:t>+387 64 4600-912</w:t>
      </w:r>
      <w:r w:rsidRPr="008B4C82">
        <w:rPr>
          <w:rFonts w:ascii="Open Sans" w:eastAsia="Times New Roman" w:hAnsi="Open Sans" w:cs="Open Sans"/>
          <w:color w:val="FFFFFF"/>
          <w:kern w:val="0"/>
          <w:sz w:val="18"/>
          <w:szCs w:val="18"/>
          <w:lang w:eastAsia="en-CA"/>
          <w14:ligatures w14:val="none"/>
        </w:rPr>
        <w:br/>
        <w:t>+387 64 4600-915</w:t>
      </w:r>
    </w:p>
    <w:p w14:paraId="6171E57E" w14:textId="77777777" w:rsidR="008B4C82" w:rsidRPr="008B4C82" w:rsidRDefault="008B4C82" w:rsidP="008B4C82">
      <w:pPr>
        <w:spacing w:after="0" w:line="240" w:lineRule="auto"/>
        <w:rPr>
          <w:rFonts w:ascii="Open Sans" w:eastAsia="Times New Roman" w:hAnsi="Open Sans" w:cs="Open Sans"/>
          <w:color w:val="FFFFFF"/>
          <w:kern w:val="0"/>
          <w:sz w:val="18"/>
          <w:szCs w:val="18"/>
          <w:lang w:eastAsia="en-CA"/>
          <w14:ligatures w14:val="none"/>
        </w:rPr>
      </w:pPr>
    </w:p>
    <w:p w14:paraId="697E07CF" w14:textId="77777777" w:rsidR="008B4C82" w:rsidRPr="008B4C82" w:rsidRDefault="008B4C82" w:rsidP="008B4C82">
      <w:pPr>
        <w:spacing w:after="0" w:line="240" w:lineRule="auto"/>
        <w:jc w:val="center"/>
        <w:rPr>
          <w:rFonts w:ascii="Open Sans" w:eastAsia="Times New Roman" w:hAnsi="Open Sans" w:cs="Open Sans"/>
          <w:color w:val="FFFFFF"/>
          <w:kern w:val="0"/>
          <w:sz w:val="18"/>
          <w:szCs w:val="18"/>
          <w:lang w:val="fr-FR" w:eastAsia="en-CA"/>
          <w14:ligatures w14:val="none"/>
        </w:rPr>
      </w:pPr>
      <w:r w:rsidRPr="008B4C82">
        <w:rPr>
          <w:rFonts w:ascii="Open Sans" w:eastAsia="Times New Roman" w:hAnsi="Open Sans" w:cs="Open Sans"/>
          <w:b/>
          <w:bCs/>
          <w:color w:val="FFFFFF"/>
          <w:kern w:val="0"/>
          <w:sz w:val="18"/>
          <w:szCs w:val="18"/>
          <w:lang w:val="fr-FR" w:eastAsia="en-CA"/>
          <w14:ligatures w14:val="none"/>
        </w:rPr>
        <w:t>SARAJEVO</w:t>
      </w:r>
    </w:p>
    <w:p w14:paraId="21548E44" w14:textId="1545F816" w:rsidR="00961C2E" w:rsidRPr="008B4C82" w:rsidRDefault="00961C2E" w:rsidP="008B4C82">
      <w:pPr>
        <w:spacing w:after="150" w:line="240" w:lineRule="auto"/>
        <w:jc w:val="center"/>
        <w:rPr>
          <w:rFonts w:ascii="Open Sans" w:eastAsia="Times New Roman" w:hAnsi="Open Sans" w:cs="Open Sans"/>
          <w:color w:val="FFFFFF"/>
          <w:kern w:val="0"/>
          <w:sz w:val="18"/>
          <w:szCs w:val="18"/>
          <w:lang w:val="fr-FR" w:eastAsia="en-CA"/>
          <w14:ligatures w14:val="none"/>
        </w:rPr>
      </w:pPr>
    </w:p>
    <w:sectPr w:rsidR="00961C2E" w:rsidRPr="008B4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7866"/>
    <w:multiLevelType w:val="multilevel"/>
    <w:tmpl w:val="43DC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13D90"/>
    <w:multiLevelType w:val="multilevel"/>
    <w:tmpl w:val="16B4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082493">
    <w:abstractNumId w:val="0"/>
  </w:num>
  <w:num w:numId="2" w16cid:durableId="1787696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82"/>
    <w:rsid w:val="0060202F"/>
    <w:rsid w:val="008B4C82"/>
    <w:rsid w:val="00961C2E"/>
    <w:rsid w:val="00982167"/>
    <w:rsid w:val="00A67746"/>
    <w:rsid w:val="00BB486F"/>
    <w:rsid w:val="00BB7791"/>
    <w:rsid w:val="00DB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8831"/>
  <w15:chartTrackingRefBased/>
  <w15:docId w15:val="{283FC17E-5181-4D36-BB91-11A66A84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06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4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360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435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3214</Words>
  <Characters>18322</Characters>
  <Application>Microsoft Office Word</Application>
  <DocSecurity>0</DocSecurity>
  <Lines>152</Lines>
  <Paragraphs>42</Paragraphs>
  <ScaleCrop>false</ScaleCrop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5</cp:revision>
  <dcterms:created xsi:type="dcterms:W3CDTF">2024-03-21T22:06:00Z</dcterms:created>
  <dcterms:modified xsi:type="dcterms:W3CDTF">2024-03-22T03:27:00Z</dcterms:modified>
</cp:coreProperties>
</file>