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EE64" w14:textId="3FF708BF" w:rsidR="00CE6349" w:rsidRPr="00CE6349" w:rsidRDefault="00CE6349" w:rsidP="00CE6349">
      <w:pPr>
        <w:spacing w:after="75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lang w:eastAsia="en-CA"/>
          <w14:ligatures w14:val="none"/>
        </w:rPr>
      </w:pPr>
      <w:r w:rsidRPr="00CE6349">
        <w:rPr>
          <w:rFonts w:ascii="Open Sans" w:eastAsia="Times New Roman" w:hAnsi="Open Sans" w:cs="Open Sans"/>
          <w:b/>
          <w:bCs/>
          <w:color w:val="333333"/>
          <w:kern w:val="0"/>
          <w:lang w:eastAsia="en-CA"/>
          <w14:ligatures w14:val="none"/>
        </w:rPr>
        <w:t>ZAKON</w:t>
      </w:r>
      <w:r w:rsidRPr="00CE6349">
        <w:rPr>
          <w:rFonts w:ascii="Open Sans" w:eastAsia="Times New Roman" w:hAnsi="Open Sans" w:cs="Open Sans"/>
          <w:b/>
          <w:bCs/>
          <w:color w:val="333333"/>
          <w:kern w:val="0"/>
          <w:lang w:eastAsia="en-CA"/>
          <w14:ligatures w14:val="none"/>
        </w:rPr>
        <w:t xml:space="preserve"> </w:t>
      </w:r>
      <w:r w:rsidRPr="00CE6349">
        <w:rPr>
          <w:rFonts w:ascii="Open Sans" w:eastAsia="Times New Roman" w:hAnsi="Open Sans" w:cs="Open Sans"/>
          <w:b/>
          <w:bCs/>
          <w:color w:val="333333"/>
          <w:kern w:val="0"/>
          <w:lang w:eastAsia="en-CA"/>
          <w14:ligatures w14:val="none"/>
        </w:rPr>
        <w:t>O POREZIMA NA UPOTREBU, DRŽANJE I NOŠENJE DOBARA</w:t>
      </w:r>
    </w:p>
    <w:p w14:paraId="517D583B" w14:textId="77777777" w:rsidR="00CE6349" w:rsidRPr="00CE6349" w:rsidRDefault="00CE6349" w:rsidP="00CE6349">
      <w:pPr>
        <w:spacing w:after="75" w:line="240" w:lineRule="auto"/>
        <w:jc w:val="center"/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("Sl.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glasnik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RS", br. 26/2001, 80/2002, 43/2004, 31/2009, 101/2010, 24/2011, 100/2011 -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120/2012 -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113/2013 -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68/2014 - dr.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, 140/2014 -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109/2015 -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112/2015, 105/2016 -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119/2017 -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104/2018 -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86/2019, 90/2019 -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156/2020 -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118/2021, 132/2021 -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141/2022 -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., 92/2023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116/2023 -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usklađeni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din. </w:t>
      </w:r>
      <w:proofErr w:type="spellStart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izn</w:t>
      </w:r>
      <w:proofErr w:type="spellEnd"/>
      <w:r w:rsidRPr="00CE6349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.)</w:t>
      </w:r>
    </w:p>
    <w:p w14:paraId="61614BB5" w14:textId="77777777" w:rsidR="004945BF" w:rsidRPr="004945BF" w:rsidRDefault="004945BF" w:rsidP="004945BF">
      <w:pPr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val="fr-FR" w:eastAsia="en-CA"/>
          <w14:ligatures w14:val="none"/>
        </w:rPr>
      </w:pPr>
      <w:r w:rsidRPr="004945BF">
        <w:rPr>
          <w:rFonts w:ascii="Open Sans" w:eastAsia="Times New Roman" w:hAnsi="Open Sans" w:cs="Open Sans"/>
          <w:color w:val="333333"/>
          <w:kern w:val="0"/>
          <w:sz w:val="21"/>
          <w:szCs w:val="21"/>
          <w:lang w:val="fr-FR" w:eastAsia="en-CA"/>
          <w14:ligatures w14:val="none"/>
        </w:rPr>
        <w:t> </w:t>
      </w:r>
    </w:p>
    <w:p w14:paraId="6CA24601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0" w:name="clan_1"/>
      <w:bookmarkEnd w:id="0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</w:t>
      </w:r>
    </w:p>
    <w:p w14:paraId="286479BE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i </w:t>
      </w:r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to:</w:t>
      </w:r>
      <w:proofErr w:type="gramEnd"/>
    </w:p>
    <w:p w14:paraId="319F3EB9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5360AB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2) </w:t>
      </w:r>
      <w:r w:rsidRPr="004945BF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(</w:t>
      </w:r>
      <w:proofErr w:type="spellStart"/>
      <w:r w:rsidRPr="004945BF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brisana</w:t>
      </w:r>
      <w:proofErr w:type="spellEnd"/>
      <w:r w:rsidRPr="004945BF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)</w:t>
      </w:r>
    </w:p>
    <w:p w14:paraId="4546ABB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4337122E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2C1421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B11E604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" w:name="clan_1a"/>
      <w:bookmarkEnd w:id="1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1a</w:t>
      </w:r>
    </w:p>
    <w:p w14:paraId="38B209F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Porezi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budžeta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135DCEB" w14:textId="77777777" w:rsidR="004945BF" w:rsidRPr="004945BF" w:rsidRDefault="004945BF" w:rsidP="004945BF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2" w:name="str_1"/>
      <w:bookmarkEnd w:id="2"/>
      <w:r w:rsidRPr="004945BF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I POREZ NA UPOTREBU MOTORNIH VOZILA</w:t>
      </w:r>
    </w:p>
    <w:p w14:paraId="2A68EB14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3" w:name="clan_2"/>
      <w:bookmarkEnd w:id="3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</w:t>
      </w:r>
    </w:p>
    <w:p w14:paraId="160F319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registracione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nalepnice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privremene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period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kraći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bezbednost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putevima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to: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putničkih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motocikala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motocikala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bočnim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sedištem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teških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tricikala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FEE20B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Putničkim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motociklom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motociklom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bočnim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sedištem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teškim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triciklom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putničko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motocikl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motocikl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bočnim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sedištem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teški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tricikl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bezbednost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putevima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D6A8C96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" w:name="clan_3"/>
      <w:bookmarkEnd w:id="4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</w:t>
      </w:r>
    </w:p>
    <w:p w14:paraId="0BA02A7E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drukčije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A8AC8A4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" w:name="clan_4"/>
      <w:bookmarkEnd w:id="5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4</w:t>
      </w:r>
    </w:p>
    <w:p w14:paraId="593FFD2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radnoj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zapremini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 za:</w:t>
      </w:r>
    </w:p>
    <w:tbl>
      <w:tblPr>
        <w:tblW w:w="12177" w:type="dxa"/>
        <w:tblInd w:w="-1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9"/>
        <w:gridCol w:w="1738"/>
      </w:tblGrid>
      <w:tr w:rsidR="00AB6F7C" w:rsidRPr="004945BF" w14:paraId="23C4BCFF" w14:textId="77777777" w:rsidTr="004945BF">
        <w:trPr>
          <w:trHeight w:val="2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F2573" w14:textId="190FE0D0" w:rsidR="004945BF" w:rsidRPr="004945BF" w:rsidRDefault="00AB6F7C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</w:t>
            </w:r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1. P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utnička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C5850" w14:textId="77777777" w:rsidR="004945BF" w:rsidRPr="004945BF" w:rsidRDefault="004945BF" w:rsidP="004945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Dinara</w:t>
            </w:r>
          </w:p>
        </w:tc>
      </w:tr>
      <w:tr w:rsidR="00AB6F7C" w:rsidRPr="004945BF" w14:paraId="12CFDDA7" w14:textId="77777777" w:rsidTr="004945BF">
        <w:trPr>
          <w:trHeight w:val="2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34480" w14:textId="6B841D2C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1) do 1.150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7AF61" w14:textId="47CD94E4" w:rsidR="004945BF" w:rsidRPr="004945BF" w:rsidRDefault="00AB6F7C" w:rsidP="004945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1.780</w:t>
            </w:r>
          </w:p>
        </w:tc>
      </w:tr>
      <w:tr w:rsidR="00AB6F7C" w:rsidRPr="004945BF" w14:paraId="3BCA87E4" w14:textId="77777777" w:rsidTr="004945BF">
        <w:trPr>
          <w:trHeight w:val="2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71919" w14:textId="65644F03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 2)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1.150 do 1.300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AAE39" w14:textId="49511CE0" w:rsidR="004945BF" w:rsidRPr="004945BF" w:rsidRDefault="00AB6F7C" w:rsidP="00AB6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3.490</w:t>
            </w:r>
          </w:p>
        </w:tc>
      </w:tr>
      <w:tr w:rsidR="00AB6F7C" w:rsidRPr="004945BF" w14:paraId="06099DD9" w14:textId="77777777" w:rsidTr="004945BF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BFEBB" w14:textId="4F112313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 3)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1.300 do 1.600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84206" w14:textId="41E3556D" w:rsidR="004945BF" w:rsidRPr="004945BF" w:rsidRDefault="00AB6F7C" w:rsidP="00AB6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7.680</w:t>
            </w:r>
          </w:p>
        </w:tc>
      </w:tr>
      <w:tr w:rsidR="00AB6F7C" w:rsidRPr="004945BF" w14:paraId="43BAF975" w14:textId="77777777" w:rsidTr="004945BF">
        <w:trPr>
          <w:trHeight w:val="2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9541E" w14:textId="5E592C5B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 4)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1.600 do 2.000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CC4E9" w14:textId="77777777" w:rsidR="004945BF" w:rsidRPr="004945BF" w:rsidRDefault="004945BF" w:rsidP="00AB6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15.750</w:t>
            </w:r>
          </w:p>
        </w:tc>
      </w:tr>
      <w:tr w:rsidR="00AB6F7C" w:rsidRPr="004945BF" w14:paraId="040908D0" w14:textId="77777777" w:rsidTr="004945BF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0DD09" w14:textId="6B21351B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 5)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2.000 do 2.500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C92CF" w14:textId="77777777" w:rsidR="004945BF" w:rsidRPr="004945BF" w:rsidRDefault="004945BF" w:rsidP="00AB6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77.850</w:t>
            </w:r>
          </w:p>
        </w:tc>
      </w:tr>
      <w:tr w:rsidR="00AB6F7C" w:rsidRPr="004945BF" w14:paraId="5052D8A9" w14:textId="77777777" w:rsidTr="004945BF">
        <w:trPr>
          <w:trHeight w:val="2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3BF8B" w14:textId="32E45301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 6)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2.500 do 3.000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8293D" w14:textId="77777777" w:rsidR="004945BF" w:rsidRPr="004945BF" w:rsidRDefault="004945BF" w:rsidP="00AB6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157.730</w:t>
            </w:r>
          </w:p>
        </w:tc>
      </w:tr>
      <w:tr w:rsidR="00AB6F7C" w:rsidRPr="004945BF" w14:paraId="7B006E9D" w14:textId="77777777" w:rsidTr="004945BF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E9A86" w14:textId="5C8A0CB2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7)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3.000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AB2F7" w14:textId="77777777" w:rsidR="004945BF" w:rsidRPr="004945BF" w:rsidRDefault="004945BF" w:rsidP="00AB6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326.020</w:t>
            </w:r>
          </w:p>
        </w:tc>
      </w:tr>
    </w:tbl>
    <w:p w14:paraId="5AA088C6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1a. </w:t>
      </w:r>
      <w:r w:rsidRPr="004945BF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4945BF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eastAsia="en-CA"/>
          <w14:ligatures w14:val="none"/>
        </w:rPr>
        <w:t>Brisana</w:t>
      </w:r>
      <w:proofErr w:type="spellEnd"/>
      <w:r w:rsidRPr="004945BF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eastAsia="en-CA"/>
          <w14:ligatures w14:val="none"/>
        </w:rPr>
        <w:t>)</w:t>
      </w:r>
    </w:p>
    <w:tbl>
      <w:tblPr>
        <w:tblW w:w="11505" w:type="dxa"/>
        <w:tblInd w:w="-1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1"/>
        <w:gridCol w:w="684"/>
      </w:tblGrid>
      <w:tr w:rsidR="004945BF" w:rsidRPr="004945BF" w14:paraId="7C9CFEE8" w14:textId="77777777" w:rsidTr="00AB6F7C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C0AFD" w14:textId="2A244E98" w:rsidR="004945BF" w:rsidRPr="004945BF" w:rsidRDefault="00AB6F7C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 </w:t>
            </w:r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2. M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otocikle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odnosno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motocikle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bočnim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sedištem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odnosno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teške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tricikle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E7DCC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Dinara</w:t>
            </w:r>
          </w:p>
        </w:tc>
      </w:tr>
      <w:tr w:rsidR="004945BF" w:rsidRPr="004945BF" w14:paraId="591CF7A8" w14:textId="77777777" w:rsidTr="00AB6F7C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BF79A" w14:textId="32E0AC40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1) do 125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6A962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2.080</w:t>
            </w:r>
          </w:p>
        </w:tc>
      </w:tr>
      <w:tr w:rsidR="004945BF" w:rsidRPr="004945BF" w14:paraId="16D3B4C0" w14:textId="77777777" w:rsidTr="00AB6F7C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5C6D1" w14:textId="37ACE861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2)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125 do 250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91126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3.490</w:t>
            </w:r>
          </w:p>
        </w:tc>
      </w:tr>
      <w:tr w:rsidR="004945BF" w:rsidRPr="004945BF" w14:paraId="710F7447" w14:textId="77777777" w:rsidTr="00AB6F7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9EA56" w14:textId="0FCFB46B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3)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250 do 500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FD51D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5.250</w:t>
            </w:r>
          </w:p>
        </w:tc>
      </w:tr>
      <w:tr w:rsidR="004945BF" w:rsidRPr="004945BF" w14:paraId="560AF846" w14:textId="77777777" w:rsidTr="00AB6F7C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CB137" w14:textId="2CAC8186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4)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500 do 750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77AB3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10.510</w:t>
            </w:r>
          </w:p>
        </w:tc>
      </w:tr>
      <w:tr w:rsidR="004945BF" w:rsidRPr="004945BF" w14:paraId="7240142A" w14:textId="77777777" w:rsidTr="00AB6F7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367B3" w14:textId="76F4E971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5)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750 do 1.100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E28CE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12.850</w:t>
            </w:r>
          </w:p>
        </w:tc>
      </w:tr>
      <w:tr w:rsidR="004945BF" w:rsidRPr="004945BF" w14:paraId="077A8E8A" w14:textId="77777777" w:rsidTr="00AB6F7C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28B57" w14:textId="64B10AB7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  </w:t>
            </w:r>
            <w:r w:rsidR="00AB6F7C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6)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 xml:space="preserve"> 1.100 cm</w:t>
            </w:r>
            <w:r w:rsidRPr="004945BF">
              <w:rPr>
                <w:rFonts w:ascii="Open Sans" w:eastAsia="Times New Roman" w:hAnsi="Open Sans" w:cs="Open Sans"/>
                <w:kern w:val="0"/>
                <w:sz w:val="15"/>
                <w:szCs w:val="15"/>
                <w:bdr w:val="none" w:sz="0" w:space="0" w:color="auto" w:frame="1"/>
                <w:vertAlign w:val="superscript"/>
                <w:lang w:eastAsia="en-CA"/>
                <w14:ligatures w14:val="none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85AA7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18.380</w:t>
            </w:r>
          </w:p>
        </w:tc>
      </w:tr>
    </w:tbl>
    <w:p w14:paraId="03BAFDC2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period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usklađenim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shodno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27a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).</w:t>
      </w:r>
    </w:p>
    <w:p w14:paraId="37A5A2BD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podtač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1) do 4)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 za:</w:t>
      </w:r>
    </w:p>
    <w:p w14:paraId="68610D6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15%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osam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E4BA245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25%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osam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10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69D3550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40%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8132ED5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podtač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5) do 7)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 za:</w:t>
      </w:r>
    </w:p>
    <w:p w14:paraId="52F8630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25%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osam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DFB6ECA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40%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osam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10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1D60928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65%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B2A323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Izuzetno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st.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20%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st.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CD4B33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Izuzetno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period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kraći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srazmernom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koji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period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6ECBD11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6" w:name="clan_5"/>
      <w:bookmarkEnd w:id="6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5</w:t>
      </w:r>
    </w:p>
    <w:p w14:paraId="031E1ED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359162D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osoba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invaliditetom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80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procenata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telesnog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oštećenja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tačka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ispunjenju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258991F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osoba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invaliditetom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postoji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telesno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oštećenje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posledicu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nesposobnost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donjih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ekstremiteta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60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procenata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tačka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ispunjenju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29B0D87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2a)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zastupnici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višestruko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ometene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dece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otvorenoj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zaštiti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roditelji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neposredno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brinu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-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tačka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njihovo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006D281F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zdravstvene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ustanove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osnovane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autonomne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pokrajine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jedinice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lokalne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samouprave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vlasnik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Republika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Srbija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autonomna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pokrajina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jedinica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lokalne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samouprave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potpunosti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većinskom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ambulantna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76A8ED66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organizacije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osoba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invaliditetom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osnovane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ciljem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pružanja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pomoći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invaliditetom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prilagođena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isključivo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njihovih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49A84E7A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Ministarstvo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unutrašnjih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8D77D6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 xml:space="preserve">6)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vlasnici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pogon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isključivo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električni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pogona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električni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hibridna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).</w:t>
      </w:r>
    </w:p>
    <w:p w14:paraId="5DF2C58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ispunjenju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1), 2) i 2a)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5901E69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umanjenja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st. 3. </w:t>
      </w:r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</w:t>
      </w:r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dodatno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umanjuje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50%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tačka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auto-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specijalna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tačka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obuku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kandidata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vozače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ugrađenim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duplim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nožnim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komandama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4EB8A98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fizičko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po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1) do 2a)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oslobođenje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to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putničko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ispunjenju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B30CB01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7" w:name="clan_5a"/>
      <w:bookmarkEnd w:id="7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5a</w:t>
      </w:r>
    </w:p>
    <w:p w14:paraId="39E89A6A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uništeno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odjavljeno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otuđeno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pruženi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ispunjenju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pogrešno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smislu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administracija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B789F10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Lice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steklo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zbog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promene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D7AF86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oslobođenje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umanjenje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5. st. 1. </w:t>
      </w:r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</w:t>
      </w:r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stekne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oslobođenje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umanjenje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pripadajućem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sticanja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197C410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vlasnik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umanjenje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prestane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auto-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obuku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kandidata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vozače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prestanka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delatnosti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pripadajući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dan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umanjenog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srazmeri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64941FA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8" w:name="clan_5b"/>
      <w:bookmarkEnd w:id="8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5b</w:t>
      </w:r>
    </w:p>
    <w:p w14:paraId="3374D516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obračunava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uplaćuje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uplatu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prihoda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41F73F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saobraćajne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registracione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nalepnice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5B00BA4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9" w:name="clan_6"/>
      <w:bookmarkEnd w:id="9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6</w:t>
      </w:r>
    </w:p>
    <w:p w14:paraId="2DBB6EA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A9152AB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. 7-12</w:t>
      </w:r>
    </w:p>
    <w:p w14:paraId="041D149C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(</w:t>
      </w:r>
      <w:proofErr w:type="spellStart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Brisano</w:t>
      </w:r>
      <w:proofErr w:type="spellEnd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val="fr-FR" w:eastAsia="en-CA"/>
          <w14:ligatures w14:val="none"/>
        </w:rPr>
        <w:t>)</w:t>
      </w:r>
    </w:p>
    <w:p w14:paraId="6AAC57C5" w14:textId="77777777" w:rsidR="004945BF" w:rsidRPr="004945BF" w:rsidRDefault="004945BF" w:rsidP="004945BF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</w:pPr>
      <w:bookmarkStart w:id="10" w:name="str_2"/>
      <w:bookmarkEnd w:id="10"/>
      <w:r w:rsidRPr="004945BF"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  <w:t>III POREZ NA UPOTREBU PLOVILA</w:t>
      </w:r>
    </w:p>
    <w:p w14:paraId="70B01C1F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1" w:name="clan_13"/>
      <w:bookmarkEnd w:id="11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13</w:t>
      </w:r>
    </w:p>
    <w:p w14:paraId="2F33BF42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čamce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brodove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jahte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motornim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pogonom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plutajuće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objekte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ugostiteljske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objekte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daljem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tekstu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).</w:t>
      </w:r>
    </w:p>
    <w:p w14:paraId="6F3D135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>Čamcem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brodom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jahtom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plutajućim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objektom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smislu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čamac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jahta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plutajući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objekat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smislu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plovidba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luke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unutrašnjim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vodama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51B5AE1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2" w:name="clan_13a"/>
      <w:bookmarkEnd w:id="12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13a</w:t>
      </w:r>
    </w:p>
    <w:p w14:paraId="557A29CD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nastaje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svakog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produžavanja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brodskog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svedočanstva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plovidbene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plutajuće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daljem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tekstu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plovidba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luke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unutrašnjim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vodama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ako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drukčije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AA282ED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3" w:name="clan_14"/>
      <w:bookmarkEnd w:id="13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14</w:t>
      </w:r>
    </w:p>
    <w:p w14:paraId="578595B0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13.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fizičko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odgovarajući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produžava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brodskog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svedočanstva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plovidbene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plutajuće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ako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drukčije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određeno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ACC67BD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4" w:name="clan_15"/>
      <w:bookmarkEnd w:id="14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15</w:t>
      </w:r>
    </w:p>
    <w:p w14:paraId="4EB49F9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se, i </w:t>
      </w:r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to:</w:t>
      </w:r>
      <w:proofErr w:type="gramEnd"/>
    </w:p>
    <w:p w14:paraId="025B4D35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čamce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iskazanoj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metrima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snazi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motora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iskazanoj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kw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postojanju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nepostojanju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kabine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03ADAC92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brodove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jahte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snazi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iskazanoj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kw;</w:t>
      </w:r>
      <w:proofErr w:type="gramEnd"/>
    </w:p>
    <w:p w14:paraId="38C2070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plutajuće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ugostiteljske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površini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iskazanoj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m</w:t>
      </w:r>
      <w:r w:rsidRPr="004945BF">
        <w:rPr>
          <w:rFonts w:ascii="Open Sans" w:eastAsia="Times New Roman" w:hAnsi="Open Sans" w:cs="Open Sans"/>
          <w:color w:val="333333"/>
          <w:kern w:val="0"/>
          <w:sz w:val="15"/>
          <w:szCs w:val="15"/>
          <w:vertAlign w:val="superscript"/>
          <w:lang w:eastAsia="en-CA"/>
          <w14:ligatures w14:val="none"/>
        </w:rPr>
        <w:t>2</w:t>
      </w: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693710C" w14:textId="77777777" w:rsid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512527A9" w14:textId="77777777" w:rsidR="006104E6" w:rsidRDefault="006104E6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</w:p>
    <w:p w14:paraId="5F56AA71" w14:textId="77777777" w:rsidR="006104E6" w:rsidRPr="00CE6349" w:rsidRDefault="006104E6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:lang w:val="fr-FR" w:eastAsia="en-CA"/>
          <w14:ligatures w14:val="none"/>
        </w:rPr>
      </w:pPr>
    </w:p>
    <w:p w14:paraId="2014783F" w14:textId="77777777" w:rsidR="006104E6" w:rsidRPr="006104E6" w:rsidRDefault="006104E6" w:rsidP="006104E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1.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Čamce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(bez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kabine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dužine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do pet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metara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,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sa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motornim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pogonom</w:t>
      </w:r>
      <w:proofErr w:type="spellEnd"/>
    </w:p>
    <w:p w14:paraId="4C55C833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 </w:t>
      </w:r>
    </w:p>
    <w:p w14:paraId="11EE3907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7B0E759D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1) do 7,35 kw</w:t>
      </w:r>
    </w:p>
    <w:p w14:paraId="74C31173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5.530</w:t>
      </w:r>
    </w:p>
    <w:p w14:paraId="7A816E12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5268AE23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2)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7,35 kw do 22,05 kw</w:t>
      </w:r>
    </w:p>
    <w:p w14:paraId="14ED4976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8.250</w:t>
      </w:r>
    </w:p>
    <w:p w14:paraId="6E27F80D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0E63EFCE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3)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22,05 kw do 73,60 kw</w:t>
      </w:r>
    </w:p>
    <w:p w14:paraId="2AF366A9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11.930</w:t>
      </w:r>
    </w:p>
    <w:p w14:paraId="56B63D68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285E9AB8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4)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73,60 kw do 96,60 kw</w:t>
      </w:r>
    </w:p>
    <w:p w14:paraId="506259D0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18.380</w:t>
      </w:r>
    </w:p>
    <w:p w14:paraId="681C59A6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22A83463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5)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96,60 kw do 220,62 kw</w:t>
      </w:r>
    </w:p>
    <w:p w14:paraId="29EE6FD7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36.770</w:t>
      </w:r>
    </w:p>
    <w:p w14:paraId="3B455596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6DF12418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6)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220,62 kw</w:t>
      </w:r>
    </w:p>
    <w:p w14:paraId="5702AD4B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55.160</w:t>
      </w:r>
    </w:p>
    <w:p w14:paraId="1CBF0AC3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680C9F9F" w14:textId="77777777" w:rsidR="006104E6" w:rsidRPr="006104E6" w:rsidRDefault="006104E6" w:rsidP="006104E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2.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Čamce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(bez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kabine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dužine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pet do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deset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metara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,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sa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motornim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pogonom</w:t>
      </w:r>
      <w:proofErr w:type="spellEnd"/>
    </w:p>
    <w:p w14:paraId="47548D39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 </w:t>
      </w:r>
    </w:p>
    <w:p w14:paraId="11BAA438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403AAA06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1) do 7,35 kw</w:t>
      </w:r>
    </w:p>
    <w:p w14:paraId="25996C11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9.160</w:t>
      </w:r>
    </w:p>
    <w:p w14:paraId="09D39162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147D21D7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2)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7,35 kw do 22,05 kw</w:t>
      </w:r>
    </w:p>
    <w:p w14:paraId="1F87E24A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12.850</w:t>
      </w:r>
    </w:p>
    <w:p w14:paraId="3B00F8AA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2F506C0C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lastRenderedPageBreak/>
        <w:t xml:space="preserve">3)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22,05 kw do 73,60 kw</w:t>
      </w:r>
    </w:p>
    <w:p w14:paraId="3B4DDD7B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18.380</w:t>
      </w:r>
    </w:p>
    <w:p w14:paraId="35367859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05B3BECF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4)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73,60 kw do 96,60 kw</w:t>
      </w:r>
    </w:p>
    <w:p w14:paraId="5BABC1D2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27.570</w:t>
      </w:r>
    </w:p>
    <w:p w14:paraId="67377F16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57135B1D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5)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96,60 kw do 220,62 kw</w:t>
      </w:r>
    </w:p>
    <w:p w14:paraId="1C9B457F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44.150</w:t>
      </w:r>
    </w:p>
    <w:p w14:paraId="0BC5EA70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42BF813C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6)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220,62 kw</w:t>
      </w:r>
    </w:p>
    <w:p w14:paraId="47CDBDA1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66.180</w:t>
      </w:r>
    </w:p>
    <w:p w14:paraId="3AF0935E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3A525ABC" w14:textId="77777777" w:rsidR="006104E6" w:rsidRPr="006104E6" w:rsidRDefault="006104E6" w:rsidP="006104E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3.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Čamce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(bez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kabine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dužine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deset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do 15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metara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,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sa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motornim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pogonom</w:t>
      </w:r>
      <w:proofErr w:type="spellEnd"/>
    </w:p>
    <w:p w14:paraId="046FB31F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 </w:t>
      </w:r>
    </w:p>
    <w:p w14:paraId="4C37510D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012D40AF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1) od 7,35 kw do 22,05 kw</w:t>
      </w:r>
    </w:p>
    <w:p w14:paraId="40172EB3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11.930</w:t>
      </w:r>
    </w:p>
    <w:p w14:paraId="54675A8D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1C09AA24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2)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22,05 kw do 73,60 kw</w:t>
      </w:r>
    </w:p>
    <w:p w14:paraId="39D0F587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20.220</w:t>
      </w:r>
    </w:p>
    <w:p w14:paraId="20681CB4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5521E501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3)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73,60 kw do 96,60 kw</w:t>
      </w:r>
    </w:p>
    <w:p w14:paraId="105B395F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27.570</w:t>
      </w:r>
    </w:p>
    <w:p w14:paraId="16B4BB78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2E88A8C9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4)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96,60 kw do 220,62 kw</w:t>
      </w:r>
    </w:p>
    <w:p w14:paraId="4BBFF7B8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55.160</w:t>
      </w:r>
    </w:p>
    <w:p w14:paraId="1E8F1960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72CD2EF2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5)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220,62 kw</w:t>
      </w:r>
    </w:p>
    <w:p w14:paraId="448EE729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91.910</w:t>
      </w:r>
    </w:p>
    <w:p w14:paraId="3946E371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6F902DD4" w14:textId="77777777" w:rsidR="006104E6" w:rsidRPr="006104E6" w:rsidRDefault="006104E6" w:rsidP="006104E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4.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Čamce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(bez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kabine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dužine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15 do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manje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od 20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metara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,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sa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motornim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pogonom</w:t>
      </w:r>
      <w:proofErr w:type="spellEnd"/>
    </w:p>
    <w:p w14:paraId="093B1EAC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 </w:t>
      </w:r>
    </w:p>
    <w:p w14:paraId="3C145B51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73FFFA0E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1) od 7,35 kw do 22,05 kw</w:t>
      </w:r>
    </w:p>
    <w:p w14:paraId="3E28DDCD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22.090</w:t>
      </w:r>
    </w:p>
    <w:p w14:paraId="40D1DEE9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4E615787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2)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22,05 kw do 73,60 kw</w:t>
      </w:r>
    </w:p>
    <w:p w14:paraId="0767A971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31.230</w:t>
      </w:r>
    </w:p>
    <w:p w14:paraId="2EDC0DE6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4B0DECB9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3)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73,60 kw do 96,60 kw</w:t>
      </w:r>
    </w:p>
    <w:p w14:paraId="703F4993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45.950</w:t>
      </w:r>
    </w:p>
    <w:p w14:paraId="46F67A79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78C54759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4)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96,60 kw do 220,62 kw</w:t>
      </w:r>
    </w:p>
    <w:p w14:paraId="434F27E7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68.030</w:t>
      </w:r>
    </w:p>
    <w:p w14:paraId="4EBAAB73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6A502F25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5)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220,62 kw</w:t>
      </w:r>
    </w:p>
    <w:p w14:paraId="212D8C83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101.120</w:t>
      </w:r>
    </w:p>
    <w:p w14:paraId="6B7450E8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6850D3E2" w14:textId="77777777" w:rsidR="006104E6" w:rsidRPr="006104E6" w:rsidRDefault="006104E6" w:rsidP="006104E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5.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Čamce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(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sa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kabinom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dužine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do pet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metara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,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sa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motornim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pogonom</w:t>
      </w:r>
      <w:proofErr w:type="spellEnd"/>
    </w:p>
    <w:p w14:paraId="7FDD6BD3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 </w:t>
      </w:r>
    </w:p>
    <w:p w14:paraId="6C7E7EFA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4BDA2A71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1) do 7,35 kw</w:t>
      </w:r>
    </w:p>
    <w:p w14:paraId="0B9B0101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9.160</w:t>
      </w:r>
    </w:p>
    <w:p w14:paraId="54822F92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2167D453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2)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7,35 kw do 22,05 kw</w:t>
      </w:r>
    </w:p>
    <w:p w14:paraId="2749374A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13.780</w:t>
      </w:r>
    </w:p>
    <w:p w14:paraId="3EDAE222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6E21FA6E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3)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22,05 kw do 73,60 kw</w:t>
      </w:r>
    </w:p>
    <w:p w14:paraId="28914420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20.220</w:t>
      </w:r>
    </w:p>
    <w:p w14:paraId="67EF4455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611D605F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4)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73,60 kw do 96,60 kw</w:t>
      </w:r>
    </w:p>
    <w:p w14:paraId="3F070124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29.410</w:t>
      </w:r>
    </w:p>
    <w:p w14:paraId="0AC399BF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lastRenderedPageBreak/>
        <w:t> </w:t>
      </w:r>
    </w:p>
    <w:p w14:paraId="0CEDFBCC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5)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96,60 kw do 220,62 kw</w:t>
      </w:r>
    </w:p>
    <w:p w14:paraId="20E1788F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42.290</w:t>
      </w:r>
    </w:p>
    <w:p w14:paraId="04DAC950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5869C0DA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6)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220,62 kw</w:t>
      </w:r>
    </w:p>
    <w:p w14:paraId="6C184D46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58.850</w:t>
      </w:r>
    </w:p>
    <w:p w14:paraId="7B596DB6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30D2E5EA" w14:textId="77777777" w:rsidR="006104E6" w:rsidRPr="006104E6" w:rsidRDefault="006104E6" w:rsidP="006104E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6.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Čamce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(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sa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kabinom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dužine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pet do 15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metara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,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sa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motornim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pogonom</w:t>
      </w:r>
      <w:proofErr w:type="spellEnd"/>
    </w:p>
    <w:p w14:paraId="25CB1328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 </w:t>
      </w:r>
    </w:p>
    <w:p w14:paraId="7AAAB481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01DBA3F1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1) do 7,35 kw</w:t>
      </w:r>
    </w:p>
    <w:p w14:paraId="622CF764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16.550</w:t>
      </w:r>
    </w:p>
    <w:p w14:paraId="721BA2ED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294648A6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2)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7,35 kw do 22,05 kw</w:t>
      </w:r>
    </w:p>
    <w:p w14:paraId="085DC72C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29.410</w:t>
      </w:r>
    </w:p>
    <w:p w14:paraId="10AEA5AC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1716844A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3)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22,05 kw do 73,60 kw</w:t>
      </w:r>
    </w:p>
    <w:p w14:paraId="55DDC553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36.770</w:t>
      </w:r>
    </w:p>
    <w:p w14:paraId="37E7F511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58B166F0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4)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73,60 kw do 96,60 kw</w:t>
      </w:r>
    </w:p>
    <w:p w14:paraId="28C6F642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45.950</w:t>
      </w:r>
    </w:p>
    <w:p w14:paraId="73E1F91F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3F1F0E7A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5)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96,60 kw do 220,62 kw</w:t>
      </w:r>
    </w:p>
    <w:p w14:paraId="257B2DAC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58.850</w:t>
      </w:r>
    </w:p>
    <w:p w14:paraId="0193E0AD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211F0160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6)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220,62 kw</w:t>
      </w:r>
    </w:p>
    <w:p w14:paraId="3D848004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73.530</w:t>
      </w:r>
    </w:p>
    <w:p w14:paraId="1F2FEB04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0C57B440" w14:textId="77777777" w:rsidR="006104E6" w:rsidRPr="006104E6" w:rsidRDefault="006104E6" w:rsidP="006104E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7.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Čamce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(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sa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kabinom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dužine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15 do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manje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od 20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metara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,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sa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motornim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pogonom</w:t>
      </w:r>
      <w:proofErr w:type="spellEnd"/>
    </w:p>
    <w:p w14:paraId="1BAAACC8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 </w:t>
      </w:r>
    </w:p>
    <w:p w14:paraId="7DB32A9A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5D764DC1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1) od 7,35 kw do 22,05 kw</w:t>
      </w:r>
    </w:p>
    <w:p w14:paraId="1E91D00A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33.090</w:t>
      </w:r>
    </w:p>
    <w:p w14:paraId="5AE6CAD3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62FFED85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2)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22,05 kw do 73,60 kw</w:t>
      </w:r>
    </w:p>
    <w:p w14:paraId="0F48049A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42.290</w:t>
      </w:r>
    </w:p>
    <w:p w14:paraId="58E53008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6B708390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3)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73,60 kw do 96,60 kw</w:t>
      </w:r>
    </w:p>
    <w:p w14:paraId="5674114A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53.330</w:t>
      </w:r>
    </w:p>
    <w:p w14:paraId="3DC825F7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426545A7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4)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96,60 kw do 220,62 kw</w:t>
      </w:r>
    </w:p>
    <w:p w14:paraId="422DF81A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66.180</w:t>
      </w:r>
    </w:p>
    <w:p w14:paraId="7893CE84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59668C52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5)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220,62 kw</w:t>
      </w:r>
    </w:p>
    <w:p w14:paraId="4E22150F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88.230</w:t>
      </w:r>
    </w:p>
    <w:p w14:paraId="0C8EB02D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59096C03" w14:textId="77777777" w:rsidR="006104E6" w:rsidRPr="006104E6" w:rsidRDefault="006104E6" w:rsidP="006104E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8.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Brodove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i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jahte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sa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motornim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pogonom</w:t>
      </w:r>
      <w:proofErr w:type="spellEnd"/>
    </w:p>
    <w:p w14:paraId="59819BBC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 </w:t>
      </w:r>
    </w:p>
    <w:p w14:paraId="5C4063AC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2D3C984D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1) od 7,35 kw do 22,05 kw</w:t>
      </w:r>
    </w:p>
    <w:p w14:paraId="08AB7B26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91.910</w:t>
      </w:r>
    </w:p>
    <w:p w14:paraId="35A0049F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56DE1ADB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2)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22,05 kw do 73,60 kw</w:t>
      </w:r>
    </w:p>
    <w:p w14:paraId="21B92E42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128.690</w:t>
      </w:r>
    </w:p>
    <w:p w14:paraId="583066A1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53DE015C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3)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73,60 kw do 96,60 kw</w:t>
      </w:r>
    </w:p>
    <w:p w14:paraId="06E6FC38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174.680</w:t>
      </w:r>
    </w:p>
    <w:p w14:paraId="6666A2FE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0A87E263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4)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96,60 kw do 220,62 kw</w:t>
      </w:r>
    </w:p>
    <w:p w14:paraId="1A04A9F6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220.630</w:t>
      </w:r>
    </w:p>
    <w:p w14:paraId="3FF90C79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50604A15" w14:textId="77777777" w:rsidR="006104E6" w:rsidRPr="006104E6" w:rsidRDefault="006104E6" w:rsidP="006104E6">
      <w:pPr>
        <w:spacing w:after="0" w:line="240" w:lineRule="auto"/>
        <w:ind w:hanging="255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5)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preko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220,62 kw</w:t>
      </w:r>
    </w:p>
    <w:p w14:paraId="1906F673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lastRenderedPageBreak/>
        <w:t>367.740</w:t>
      </w:r>
    </w:p>
    <w:p w14:paraId="3B29660E" w14:textId="77777777" w:rsidR="006104E6" w:rsidRPr="006104E6" w:rsidRDefault="006104E6" w:rsidP="006104E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Times New Roman" w:eastAsia="Times New Roman" w:hAnsi="Times New Roman" w:cs="Times New Roman"/>
          <w:kern w:val="0"/>
          <w:sz w:val="18"/>
          <w:szCs w:val="18"/>
          <w:lang w:eastAsia="en-CA"/>
          <w14:ligatures w14:val="none"/>
        </w:rPr>
        <w:t> </w:t>
      </w:r>
    </w:p>
    <w:p w14:paraId="3E3CFD7B" w14:textId="77777777" w:rsidR="006104E6" w:rsidRPr="006104E6" w:rsidRDefault="006104E6" w:rsidP="006104E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9.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Plutajuće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objekte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-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ugostiteljske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objekte</w:t>
      </w:r>
      <w:proofErr w:type="spellEnd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 xml:space="preserve"> po 1 m</w:t>
      </w:r>
      <w:r w:rsidRPr="006104E6">
        <w:rPr>
          <w:rFonts w:ascii="Open Sans" w:eastAsia="Times New Roman" w:hAnsi="Open Sans" w:cs="Open Sans"/>
          <w:kern w:val="0"/>
          <w:sz w:val="18"/>
          <w:szCs w:val="18"/>
          <w:bdr w:val="none" w:sz="0" w:space="0" w:color="auto" w:frame="1"/>
          <w:vertAlign w:val="superscript"/>
          <w:lang w:eastAsia="en-CA"/>
          <w14:ligatures w14:val="none"/>
        </w:rPr>
        <w:t>2</w:t>
      </w: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 </w:t>
      </w:r>
      <w:proofErr w:type="spellStart"/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površine</w:t>
      </w:r>
      <w:proofErr w:type="spellEnd"/>
    </w:p>
    <w:p w14:paraId="44D51BB8" w14:textId="77777777" w:rsidR="006104E6" w:rsidRPr="006104E6" w:rsidRDefault="006104E6" w:rsidP="006104E6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</w:pPr>
      <w:r w:rsidRPr="006104E6">
        <w:rPr>
          <w:rFonts w:ascii="Arial" w:eastAsia="Times New Roman" w:hAnsi="Arial" w:cs="Arial"/>
          <w:kern w:val="0"/>
          <w:sz w:val="18"/>
          <w:szCs w:val="18"/>
          <w:lang w:eastAsia="en-CA"/>
          <w14:ligatures w14:val="none"/>
        </w:rPr>
        <w:t>1.850</w:t>
      </w:r>
    </w:p>
    <w:p w14:paraId="391D127C" w14:textId="77777777" w:rsidR="006104E6" w:rsidRPr="004945BF" w:rsidRDefault="006104E6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:lang w:val="fr-FR" w:eastAsia="en-CA"/>
          <w14:ligatures w14:val="none"/>
        </w:rPr>
      </w:pP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243"/>
        <w:gridCol w:w="12972"/>
      </w:tblGrid>
      <w:tr w:rsidR="004945BF" w:rsidRPr="004945BF" w14:paraId="60F48B5F" w14:textId="77777777" w:rsidTr="004945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48CAF" w14:textId="77777777" w:rsidR="004945BF" w:rsidRPr="004945BF" w:rsidRDefault="004945BF" w:rsidP="004945B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19"/>
                <w:szCs w:val="19"/>
                <w:lang w:val="fr-FR" w:eastAsia="en-CA"/>
                <w14:ligatures w14:val="none"/>
              </w:rPr>
            </w:pPr>
            <w:r w:rsidRPr="004945BF">
              <w:rPr>
                <w:rFonts w:ascii="Open Sans" w:eastAsia="Times New Roman" w:hAnsi="Open Sans" w:cs="Open Sans"/>
                <w:kern w:val="0"/>
                <w:sz w:val="19"/>
                <w:szCs w:val="19"/>
                <w:lang w:val="fr-FR"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5FFAC" w14:textId="77777777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val="fr-FR"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E4B1D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Dinara</w:t>
            </w:r>
          </w:p>
        </w:tc>
      </w:tr>
    </w:tbl>
    <w:p w14:paraId="0E71642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usklađenim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shodno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27a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).</w:t>
      </w:r>
    </w:p>
    <w:p w14:paraId="2F1B6B95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 za:</w:t>
      </w:r>
    </w:p>
    <w:p w14:paraId="49FAF6F0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10%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osam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BE03DCA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20%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osam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10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4AF37BD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30%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0FA20D4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5" w:name="clan_15a"/>
      <w:bookmarkEnd w:id="15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15a</w:t>
      </w:r>
    </w:p>
    <w:p w14:paraId="46CA56AF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brodove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plutajuće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ugostiteljske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neposredno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B6C402E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6" w:name="clan_15b"/>
      <w:bookmarkEnd w:id="16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15b</w:t>
      </w:r>
    </w:p>
    <w:p w14:paraId="62E6FEE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2CE983F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7" w:name="clan_16"/>
      <w:bookmarkEnd w:id="17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16</w:t>
      </w:r>
    </w:p>
    <w:p w14:paraId="5AB39408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uplaćuje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uplatni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642ED5E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16a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0990FA8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samo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plutajući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objekat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ugostiteljski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objekat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neposredno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AFA7812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plutajući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objekat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ugostiteljski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objekat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neposredno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overena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kopija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dokumenta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koga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izvršena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organa koji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potrebno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posedovanje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priloženom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overenom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izjavom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vrstama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brodova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15.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površini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plutajućih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objekata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ugostiteljskih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objekata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neposredno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naznakom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Overe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stariji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šest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podnošenja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5DD34CB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8" w:name="clan_16a"/>
      <w:bookmarkEnd w:id="18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16a</w:t>
      </w:r>
    </w:p>
    <w:p w14:paraId="123EF29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uništeno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brisano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upisnika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otuđeno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pre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brodskog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svedočanstva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plutajuće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pruženi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ispunjenju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15a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pogrešno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smislu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administracija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3ED5018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Lice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steklo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brodskog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svedočanstva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plutajuće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promene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toga mora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brodskog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svedočanstva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plutajuće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22655E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pre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brodskog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svedočanstva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plutajuće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čijeg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oslobođenje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15a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za period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prestanka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perioda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pripadajući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srazmerno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tom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periodu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to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15.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3BA46B3" w14:textId="77777777" w:rsidR="004945BF" w:rsidRPr="004945BF" w:rsidRDefault="004945BF" w:rsidP="004945BF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19" w:name="str_3"/>
      <w:bookmarkEnd w:id="19"/>
      <w:r w:rsidRPr="004945BF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IV POREZ NA UPOTREBU VAZDUHOPLOVA</w:t>
      </w:r>
    </w:p>
    <w:p w14:paraId="7C371B50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0" w:name="clan_17"/>
      <w:bookmarkEnd w:id="20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17</w:t>
      </w:r>
    </w:p>
    <w:p w14:paraId="691FC78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civilne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pogon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sopstveni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sportsko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amatersko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letenje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).</w:t>
      </w:r>
    </w:p>
    <w:p w14:paraId="0337068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evidenciju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svakog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vazdušni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drukčije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1021326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1" w:name="clan_18"/>
      <w:bookmarkEnd w:id="21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18</w:t>
      </w:r>
    </w:p>
    <w:p w14:paraId="77A59C2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17.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vazdušni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drukčije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76484F9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2" w:name="clan_19"/>
      <w:bookmarkEnd w:id="22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19</w:t>
      </w:r>
    </w:p>
    <w:p w14:paraId="564E0139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17.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pogon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za:</w:t>
      </w:r>
    </w:p>
    <w:tbl>
      <w:tblPr>
        <w:tblW w:w="12188" w:type="dxa"/>
        <w:tblInd w:w="-1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1"/>
        <w:gridCol w:w="1767"/>
      </w:tblGrid>
      <w:tr w:rsidR="00547629" w:rsidRPr="004945BF" w14:paraId="1659A46A" w14:textId="77777777" w:rsidTr="00547629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1CD77" w14:textId="77777777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3F4F8" w14:textId="77777777" w:rsidR="004945BF" w:rsidRPr="004945BF" w:rsidRDefault="004945BF" w:rsidP="005476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Dinara</w:t>
            </w:r>
          </w:p>
        </w:tc>
      </w:tr>
      <w:tr w:rsidR="00547629" w:rsidRPr="004945BF" w14:paraId="541A81BD" w14:textId="77777777" w:rsidTr="00547629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53394" w14:textId="4416F2DA" w:rsidR="004945BF" w:rsidRPr="004945BF" w:rsidRDefault="0054762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4762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 </w:t>
            </w:r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1. S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opstveni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prevoz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869AA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547629" w:rsidRPr="004945BF" w14:paraId="4D625753" w14:textId="77777777" w:rsidTr="00547629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0077B" w14:textId="19B8EF2B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  </w:t>
            </w:r>
            <w:r w:rsidR="00547629" w:rsidRPr="0054762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1)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veličine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do 6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sedišta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BA8A9" w14:textId="77777777" w:rsidR="004945BF" w:rsidRPr="004945BF" w:rsidRDefault="004945BF" w:rsidP="005476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1.560.680</w:t>
            </w:r>
          </w:p>
        </w:tc>
      </w:tr>
      <w:tr w:rsidR="00547629" w:rsidRPr="004945BF" w14:paraId="7C5285CF" w14:textId="77777777" w:rsidTr="00547629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CF5C6" w14:textId="2465C642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  </w:t>
            </w:r>
            <w:r w:rsidR="00547629" w:rsidRPr="0054762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2)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6 do 12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sedišta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D98F9" w14:textId="77777777" w:rsidR="004945BF" w:rsidRPr="004945BF" w:rsidRDefault="004945BF" w:rsidP="005476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3.121.390</w:t>
            </w:r>
          </w:p>
        </w:tc>
      </w:tr>
      <w:tr w:rsidR="00547629" w:rsidRPr="004945BF" w14:paraId="3ECE50F5" w14:textId="77777777" w:rsidTr="00547629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4520F" w14:textId="79D0DC86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 </w:t>
            </w:r>
            <w:r w:rsidR="00547629" w:rsidRPr="0054762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 3)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12 do 20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sedišta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CC6AA" w14:textId="77777777" w:rsidR="004945BF" w:rsidRPr="004945BF" w:rsidRDefault="004945BF" w:rsidP="005476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3.901.780</w:t>
            </w:r>
          </w:p>
        </w:tc>
      </w:tr>
      <w:tr w:rsidR="00547629" w:rsidRPr="004945BF" w14:paraId="14AB4529" w14:textId="77777777" w:rsidTr="00547629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4A1BF" w14:textId="17AA7DDC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  </w:t>
            </w:r>
            <w:r w:rsidR="00547629" w:rsidRPr="0054762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4)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20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sedišta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DCE97" w14:textId="77777777" w:rsidR="004945BF" w:rsidRPr="004945BF" w:rsidRDefault="004945BF" w:rsidP="005476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4.682.120</w:t>
            </w:r>
          </w:p>
        </w:tc>
      </w:tr>
      <w:tr w:rsidR="00547629" w:rsidRPr="004945BF" w14:paraId="735E9FD9" w14:textId="77777777" w:rsidTr="00547629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8E241" w14:textId="70236D37" w:rsidR="004945BF" w:rsidRPr="004945BF" w:rsidRDefault="0054762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4762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  </w:t>
            </w:r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2. S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portsko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,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odnosno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amatersko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letenje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C9F78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547629" w:rsidRPr="004945BF" w14:paraId="1C1FD1B7" w14:textId="77777777" w:rsidTr="00547629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73F32" w14:textId="752AED8A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  </w:t>
            </w:r>
            <w:r w:rsidR="00547629" w:rsidRPr="0054762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1)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veličine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do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četiri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sedišta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02247" w14:textId="77777777" w:rsidR="004945BF" w:rsidRPr="004945BF" w:rsidRDefault="004945BF" w:rsidP="005476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936.440</w:t>
            </w:r>
          </w:p>
        </w:tc>
      </w:tr>
      <w:tr w:rsidR="00547629" w:rsidRPr="004945BF" w14:paraId="113C41C0" w14:textId="77777777" w:rsidTr="00547629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F8EAC" w14:textId="77777777" w:rsidR="004945BF" w:rsidRPr="00547629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  </w:t>
            </w:r>
            <w:r w:rsidR="00547629" w:rsidRPr="0054762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</w:t>
            </w: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2)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preko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četiri</w:t>
            </w:r>
            <w:proofErr w:type="spellEnd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sedišta</w:t>
            </w:r>
            <w:proofErr w:type="spellEnd"/>
            <w:r w:rsidR="00547629" w:rsidRPr="0054762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</w:t>
            </w:r>
          </w:p>
          <w:p w14:paraId="126C3F2E" w14:textId="77777777" w:rsidR="00547629" w:rsidRPr="00547629" w:rsidRDefault="0054762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3EDAB43C" w14:textId="77777777" w:rsidR="00547629" w:rsidRPr="00547629" w:rsidRDefault="0054762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0BBD1DBE" w14:textId="05EC5353" w:rsidR="00547629" w:rsidRPr="004945BF" w:rsidRDefault="0054762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AC7B4" w14:textId="77777777" w:rsidR="004945BF" w:rsidRPr="004945BF" w:rsidRDefault="004945BF" w:rsidP="005476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1.560.680</w:t>
            </w:r>
          </w:p>
        </w:tc>
      </w:tr>
    </w:tbl>
    <w:p w14:paraId="4FB311E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usklađenim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shodno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27a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).</w:t>
      </w:r>
    </w:p>
    <w:p w14:paraId="23C1C83F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 za:</w:t>
      </w:r>
    </w:p>
    <w:p w14:paraId="5C2BD4C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10%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osam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88DCEFA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20%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osam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10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349FEA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30%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navršenih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starosti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8BAF82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pogon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sport, 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vlasništvo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klubova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sportista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koji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poseduju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članstvu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tog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7CDCAF3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3" w:name="clan_20"/>
      <w:bookmarkEnd w:id="23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20</w:t>
      </w:r>
    </w:p>
    <w:p w14:paraId="0CEFB8A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uplaćuje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uplatni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38A9EA0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traži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prilikom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podnošenja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priloži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izvršio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7F44B6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samo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1FE4C45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4" w:name="clan_20a"/>
      <w:bookmarkEnd w:id="24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20a</w:t>
      </w:r>
    </w:p>
    <w:p w14:paraId="23C0CB55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uništen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brisan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otuđen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pre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koji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pruženi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ispunjenju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19.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pogrešno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smislu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administracija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64554A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Lice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steklo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promene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toga mora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vazdušni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CCE075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koji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oslobođenje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19.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sport,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svojstvo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pre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pripadajući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taj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period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prestanka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korišćenja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sport,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prestanka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perioda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srazmerno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tom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periodu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taj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19.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st.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do 3.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6FBE7E0" w14:textId="77777777" w:rsidR="004945BF" w:rsidRPr="004945BF" w:rsidRDefault="004945BF" w:rsidP="004945BF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25" w:name="str_4"/>
      <w:bookmarkEnd w:id="25"/>
      <w:r w:rsidRPr="004945BF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V POREZ NA REGISTROVANO ORUŽJE</w:t>
      </w:r>
    </w:p>
    <w:p w14:paraId="28FB455B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6" w:name="clan_21"/>
      <w:bookmarkEnd w:id="26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21</w:t>
      </w:r>
    </w:p>
    <w:p w14:paraId="4AA08AC0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svaku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kalendarsku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0BF7C7A9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automatsku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pušku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BB3650D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poluautomatsku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pušku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C38889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ličnu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bezbednost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kategorije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B.</w:t>
      </w:r>
    </w:p>
    <w:p w14:paraId="4FDC5BF9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smislu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jeste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list,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sl.)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municija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važio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početka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municija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3C140F0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7" w:name="clan_22"/>
      <w:bookmarkEnd w:id="27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22</w:t>
      </w:r>
    </w:p>
    <w:p w14:paraId="37E51D1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B99D664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8" w:name="clan_23"/>
      <w:bookmarkEnd w:id="28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23</w:t>
      </w:r>
    </w:p>
    <w:p w14:paraId="07C2AEC5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lice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2B77988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9" w:name="clan_24"/>
      <w:bookmarkEnd w:id="29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24</w:t>
      </w:r>
    </w:p>
    <w:p w14:paraId="63BE388F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godišnjem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po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svakom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tbl>
      <w:tblPr>
        <w:tblW w:w="10883" w:type="dxa"/>
        <w:tblInd w:w="-1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2"/>
        <w:gridCol w:w="551"/>
      </w:tblGrid>
      <w:tr w:rsidR="004945BF" w:rsidRPr="004945BF" w14:paraId="04992B57" w14:textId="77777777" w:rsidTr="00CE6349">
        <w:trPr>
          <w:trHeight w:val="119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CC435" w14:textId="77777777" w:rsidR="004945BF" w:rsidRPr="004945BF" w:rsidRDefault="004945BF" w:rsidP="004945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FDB34" w14:textId="77777777" w:rsidR="004945BF" w:rsidRPr="004945BF" w:rsidRDefault="004945BF" w:rsidP="00CE63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proofErr w:type="spellStart"/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dinara</w:t>
            </w:r>
            <w:proofErr w:type="spellEnd"/>
          </w:p>
        </w:tc>
      </w:tr>
      <w:tr w:rsidR="004945BF" w:rsidRPr="004945BF" w14:paraId="13533F8C" w14:textId="77777777" w:rsidTr="00CE6349">
        <w:trPr>
          <w:trHeight w:val="113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06D18" w14:textId="1EE693C8" w:rsidR="004945BF" w:rsidRPr="004945BF" w:rsidRDefault="00CE634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E634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</w:t>
            </w:r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1)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automatsku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pušk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5E5F2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18.660</w:t>
            </w:r>
          </w:p>
        </w:tc>
      </w:tr>
      <w:tr w:rsidR="004945BF" w:rsidRPr="004945BF" w14:paraId="6254F0B7" w14:textId="77777777" w:rsidTr="00CE6349">
        <w:trPr>
          <w:trHeight w:val="119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9A50A" w14:textId="5B4D12E4" w:rsidR="004945BF" w:rsidRPr="004945BF" w:rsidRDefault="00CE634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E634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lastRenderedPageBreak/>
              <w:t xml:space="preserve">                             </w:t>
            </w:r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2)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poluautomatsku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pušku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D5FE7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7.480</w:t>
            </w:r>
          </w:p>
        </w:tc>
      </w:tr>
      <w:tr w:rsidR="004945BF" w:rsidRPr="004945BF" w14:paraId="31B1B64B" w14:textId="77777777" w:rsidTr="00CE6349">
        <w:trPr>
          <w:trHeight w:val="113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3877A" w14:textId="58F9C668" w:rsidR="004945BF" w:rsidRPr="004945BF" w:rsidRDefault="00CE634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E634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</w:t>
            </w:r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3)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oružje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za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ličnu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bezbednost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kategorije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B za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koje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je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izdata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isprava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za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držanje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oružja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13BD8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5.050</w:t>
            </w:r>
          </w:p>
        </w:tc>
      </w:tr>
      <w:tr w:rsidR="004945BF" w:rsidRPr="004945BF" w14:paraId="355D4A97" w14:textId="77777777" w:rsidTr="00CE6349">
        <w:trPr>
          <w:trHeight w:val="588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CDA4D" w14:textId="66C872B2" w:rsidR="00547629" w:rsidRPr="00CE6349" w:rsidRDefault="00CE634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E634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</w:t>
            </w:r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4)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oružje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za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ličnu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bezbednost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kategorije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B za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koje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je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izdata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isprava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za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držanje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i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</w:p>
          <w:p w14:paraId="2CB44C27" w14:textId="097C055D" w:rsidR="004945BF" w:rsidRPr="00CE6349" w:rsidRDefault="00CE634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E634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    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nošenje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oružja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(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uključujući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oružni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list za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pravna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lica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i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preduzetnike</w:t>
            </w:r>
            <w:proofErr w:type="spellEnd"/>
            <w:r w:rsidR="004945BF"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)</w:t>
            </w:r>
          </w:p>
          <w:p w14:paraId="1CB0E549" w14:textId="77777777" w:rsidR="00547629" w:rsidRPr="00CE6349" w:rsidRDefault="0054762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7359E4FE" w14:textId="77777777" w:rsidR="00547629" w:rsidRPr="00CE6349" w:rsidRDefault="0054762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</w:p>
          <w:p w14:paraId="09AB3996" w14:textId="77777777" w:rsidR="00547629" w:rsidRPr="004945BF" w:rsidRDefault="00547629" w:rsidP="004945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CD6E8" w14:textId="77777777" w:rsidR="004945BF" w:rsidRPr="004945BF" w:rsidRDefault="004945BF" w:rsidP="004945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945B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25.220</w:t>
            </w:r>
          </w:p>
        </w:tc>
      </w:tr>
    </w:tbl>
    <w:p w14:paraId="57034132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Izuzetno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komada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ličnu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bezbednost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godišnjem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jednakom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zbiru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komad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svaki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naredni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komad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2E8F9CD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30" w:name="clan_24a"/>
      <w:bookmarkEnd w:id="30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24a</w:t>
      </w:r>
    </w:p>
    <w:p w14:paraId="2EC3F0C2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kalendarske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pripadajućem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24.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srazmeran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periodu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nastanka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kalendarske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DF820AA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pravosnažnim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rešenjem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oduzeta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uključujući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pripadajućem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24.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srazmeran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periodu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početka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kalendarske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nastanka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do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pravosnažnosti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organa.</w:t>
      </w:r>
    </w:p>
    <w:p w14:paraId="2309D999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pravosnažnim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rešenjem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oduzeta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uključujući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pripadajući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period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pravosnažnosti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oduzimanju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administracija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BED932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24.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kalendarske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3) tog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uvećava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pripadajući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razliku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4)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3) tog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tog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srazmerno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periodu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kalendarske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4323CF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pripadajućem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st.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to:</w:t>
      </w:r>
    </w:p>
    <w:p w14:paraId="4658CF3A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kalendarske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a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812D0A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kalendarske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onesposobi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municija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64DB04F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kalendarske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prenese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415B167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kalendarske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nastupi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smrt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obveznika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E7A4BD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nastupe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činjenice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municija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dovode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prestanka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4BC6B2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nestalo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nestanak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prijavljen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evidentira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pasivizirano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nestanka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zaključno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prethodi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vraćanja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nađenog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vlasniku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B68385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nestalo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pasivizirano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6.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pripadajući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prethodi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vraćanja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nađenog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vlasniku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administracija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8458A9E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neosnovane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nestanka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zbog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6.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pripadajući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neutvrđeni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svaku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obuhvaćenu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>periodom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kamatom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obračunava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počev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januara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svake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administracija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EE3874B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31" w:name="clan_25"/>
      <w:bookmarkEnd w:id="31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25</w:t>
      </w:r>
    </w:p>
    <w:p w14:paraId="29CA356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na:</w:t>
      </w:r>
      <w:proofErr w:type="gramEnd"/>
    </w:p>
    <w:p w14:paraId="4D70165F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potrebe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državnoj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organizaciji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službeno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potrebno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,</w:t>
      </w:r>
    </w:p>
    <w:p w14:paraId="601725CF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streljačkih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organizacija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streljačkih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klubova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,</w:t>
      </w:r>
    </w:p>
    <w:p w14:paraId="7312543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3) (</w:t>
      </w:r>
      <w:proofErr w:type="spellStart"/>
      <w:r w:rsidRPr="004945BF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eastAsia="en-CA"/>
          <w14:ligatures w14:val="none"/>
        </w:rPr>
        <w:t>brisana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</w:t>
      </w:r>
    </w:p>
    <w:p w14:paraId="21365A1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poklon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nagradu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prilikom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odlaska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penziju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Vojske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vojske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sledbenik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organa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sledbenik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najniža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visina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,</w:t>
      </w:r>
    </w:p>
    <w:p w14:paraId="3D29F0C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proizvođači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municije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sredstvo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opremu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procesu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namenske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D05E6E5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6) (</w:t>
      </w:r>
      <w:proofErr w:type="spellStart"/>
      <w:r w:rsidRPr="004945BF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eastAsia="en-CA"/>
          <w14:ligatures w14:val="none"/>
        </w:rPr>
        <w:t>brisana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</w:t>
      </w:r>
    </w:p>
    <w:p w14:paraId="36779D4F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Oslobođenje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streljačku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organizaciju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samo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trajno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smešteno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skladištu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obezbeđenim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prostorijama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organizacije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5DAA96E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32" w:name="clan_26"/>
      <w:bookmarkEnd w:id="32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26</w:t>
      </w:r>
    </w:p>
    <w:p w14:paraId="50A2B09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rešenjem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 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 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21. 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, 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dostavlja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republički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 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republički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).</w:t>
      </w:r>
    </w:p>
    <w:p w14:paraId="0C5E2DB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smislu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jeste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organizaciona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jedinica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sedište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prebivalište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boravište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to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opravdani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razlozi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40D4FB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Organizaciona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jedinica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boravište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utvrdila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15 dana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donošenja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tome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organizacionu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jedinicu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prebivalište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DB76E0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15 dana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dostavljanja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104E0E0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33" w:name="clan_26a"/>
      <w:bookmarkEnd w:id="33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26a</w:t>
      </w:r>
    </w:p>
    <w:p w14:paraId="1333E58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Republički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15 dana od dana:</w:t>
      </w:r>
    </w:p>
    <w:p w14:paraId="48F8C142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početka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svake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kalendarske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A1AE5AF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4EA22D8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pravosnažnosti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oduzimanju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uključujući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547A21E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isticanja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8233716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onesposobljavanja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A0506D5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6)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pasivizacije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nestalog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DE3E9ED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7)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vraćanja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nađenog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vlasniku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B920D0D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8)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prenosa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D0B9166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9)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preuzimanja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tog organa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smrti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vlasnika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FD5E2A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10)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činjenica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municija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dovode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nastanka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prestanka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B63F588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dostavljaju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podaci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nestanak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prijavljen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vraćeno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vlasniku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nestanak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prijavljen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vraćanja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vlasniku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4CF4156" w14:textId="77777777" w:rsidR="004945BF" w:rsidRPr="004945BF" w:rsidRDefault="004945BF" w:rsidP="004945BF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</w:pPr>
      <w:bookmarkStart w:id="34" w:name="str_5"/>
      <w:bookmarkEnd w:id="34"/>
      <w:r w:rsidRPr="004945BF"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  <w:t>VI SHODNA PRIMENA DRUGIH ZAKONA</w:t>
      </w:r>
    </w:p>
    <w:p w14:paraId="4E0A85D7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35" w:name="clan_27"/>
      <w:bookmarkEnd w:id="35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27</w:t>
      </w:r>
    </w:p>
    <w:p w14:paraId="04BD5DDA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pogledu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kamate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prinudne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naplate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ostalog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što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uređeno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primenjuju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odredbe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poreska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administracija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FC63861" w14:textId="77777777" w:rsidR="004945BF" w:rsidRPr="004945BF" w:rsidRDefault="004945BF" w:rsidP="004945BF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</w:pPr>
      <w:bookmarkStart w:id="36" w:name="str_6"/>
      <w:bookmarkEnd w:id="36"/>
      <w:proofErr w:type="spellStart"/>
      <w:r w:rsidRPr="004945BF"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  <w:t>VIa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  <w:t xml:space="preserve"> USKLAĐIVANJE IZNOSA POREZA</w:t>
      </w:r>
    </w:p>
    <w:p w14:paraId="226DC652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37" w:name="clan_27a"/>
      <w:bookmarkEnd w:id="37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27a</w:t>
      </w:r>
    </w:p>
    <w:p w14:paraId="685DEC9D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narednu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4, 15, 19. i 24.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usklađuju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decembru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mesecu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indeksom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potrošačkih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prethodnih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dvanaest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meseci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podacima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republičke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organizacije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statistike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64B1F0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Izuzetno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2005.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godinu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4, 10, 15, 19. i 24.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uskladiće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decembru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mesecu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2004.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stopom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rasta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narednog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kraja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novembra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2004.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podacima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republičke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organizacije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statistike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AF2EB4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Prilikom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usklađivanja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dinarskih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osnovica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usklađivanje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poslednji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objavljeni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dinarski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čemu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zaokruživanje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što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obzir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zaokružuje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deset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43997A8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Vlada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predlog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ministarstva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finansija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objavljuje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usklađene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07BC1BB" w14:textId="77777777" w:rsidR="004945BF" w:rsidRPr="004945BF" w:rsidRDefault="004945BF" w:rsidP="004945BF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38" w:name="str_7"/>
      <w:bookmarkEnd w:id="38"/>
      <w:r w:rsidRPr="004945BF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VII KAZNENE ODREDBE</w:t>
      </w:r>
    </w:p>
    <w:p w14:paraId="26C3D12B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39" w:name="clan_28*"/>
      <w:bookmarkEnd w:id="39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28*</w:t>
      </w:r>
    </w:p>
    <w:p w14:paraId="413C14DF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4945BF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eastAsia="en-CA"/>
          <w14:ligatures w14:val="none"/>
        </w:rPr>
        <w:t>Prestao</w:t>
      </w:r>
      <w:proofErr w:type="spellEnd"/>
      <w:r w:rsidRPr="004945BF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4945BF">
        <w:rPr>
          <w:rFonts w:ascii="Open Sans" w:eastAsia="Times New Roman" w:hAnsi="Open Sans" w:cs="Open Sans"/>
          <w:i/>
          <w:iCs/>
          <w:color w:val="333333"/>
          <w:kern w:val="0"/>
          <w:sz w:val="19"/>
          <w:szCs w:val="19"/>
          <w:lang w:eastAsia="en-CA"/>
          <w14:ligatures w14:val="none"/>
        </w:rPr>
        <w:t>važi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</w:t>
      </w:r>
    </w:p>
    <w:p w14:paraId="38F98179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0" w:name="clan_28a"/>
      <w:bookmarkEnd w:id="40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28a</w:t>
      </w:r>
    </w:p>
    <w:p w14:paraId="56E8C1A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Novčanom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100.000 do 500.000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5b, 16, 20.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A59A3BE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Novčanom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5.000 do 50.000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BEB90D5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Novčanom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5.000 do 50.000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5b, 16, 20.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72008EE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Novčanom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5.000 do 50.000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registraciju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registraciju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bez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6).</w:t>
      </w:r>
    </w:p>
    <w:p w14:paraId="63036C39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Novčanom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5.000 do 50.000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brodskog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svedočanstva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plutajuće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brodskog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svedočanstva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plutajuće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bez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3).</w:t>
      </w:r>
    </w:p>
    <w:p w14:paraId="155BB7C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Novčanom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5.000 do 50.000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uverenja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plovidbenosti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bez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3).</w:t>
      </w:r>
    </w:p>
    <w:p w14:paraId="7AA60470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Novčanom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5.000 do 50.000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republičkom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zaduženom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E0530E7" w14:textId="77777777" w:rsidR="004945BF" w:rsidRPr="004945BF" w:rsidRDefault="004945BF" w:rsidP="004945BF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41" w:name="str_8"/>
      <w:bookmarkEnd w:id="41"/>
      <w:r w:rsidRPr="004945BF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VIII PRELAZNE I ZAVRŠNE ODREDBE</w:t>
      </w:r>
    </w:p>
    <w:p w14:paraId="3831DD45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2" w:name="clan_29"/>
      <w:bookmarkEnd w:id="42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29</w:t>
      </w:r>
    </w:p>
    <w:p w14:paraId="6C026140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4) do 6)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8. do 21.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obezbeđivanju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sprovođenje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socijalnog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programa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RS", br. 44/98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48/99).</w:t>
      </w:r>
    </w:p>
    <w:p w14:paraId="3259D581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3" w:name="clan_30"/>
      <w:bookmarkEnd w:id="43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30</w:t>
      </w:r>
    </w:p>
    <w:p w14:paraId="3B60761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mobilnog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telefona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7.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mobilne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telefonije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svojstvo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narednog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naplaćuje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7E9EAA4A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postpejd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fakture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mobilne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telefonije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tom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7F7CE99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pripejd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putem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uplatnice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mobilne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telefonije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pošalje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navedenu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naznačenom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svrhom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mobilnog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telefona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uplatnim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budžeta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8BD84D8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4" w:name="clan_31"/>
      <w:bookmarkEnd w:id="44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31</w:t>
      </w:r>
    </w:p>
    <w:p w14:paraId="499E345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21-26.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od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januara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2001.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54A3688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republički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zadužen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list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ličnu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bezbednost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list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ličnu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bezbednost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15 dana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poreskom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B1AEC34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5" w:name="clan_32"/>
      <w:bookmarkEnd w:id="45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32</w:t>
      </w:r>
    </w:p>
    <w:p w14:paraId="72E456D6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osmog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objavljivanja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".</w:t>
      </w:r>
    </w:p>
    <w:p w14:paraId="3CE448AD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 </w:t>
      </w:r>
    </w:p>
    <w:p w14:paraId="1CC4F548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Samostalni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izmenama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dopunama</w:t>
      </w:r>
      <w:proofErr w:type="spellEnd"/>
      <w:r w:rsidRPr="004945BF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br/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dobara</w:t>
      </w:r>
      <w:proofErr w:type="spellEnd"/>
    </w:p>
    <w:p w14:paraId="4B029C3A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("Sl. </w:t>
      </w:r>
      <w:proofErr w:type="spellStart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 RS", br. 80/2002)</w:t>
      </w:r>
    </w:p>
    <w:p w14:paraId="3E304B71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</w:t>
      </w:r>
    </w:p>
    <w:p w14:paraId="5DCAF6E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osmog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objavljivanja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", 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primenjivaće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od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januara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2003.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E6E04D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 </w:t>
      </w:r>
    </w:p>
    <w:p w14:paraId="6DBD2DB5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Samostalni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članovi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izmenama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dopunama</w:t>
      </w:r>
      <w:proofErr w:type="spellEnd"/>
      <w:r w:rsidRPr="004945BF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br/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dobara</w:t>
      </w:r>
      <w:proofErr w:type="spellEnd"/>
    </w:p>
    <w:p w14:paraId="0D8F6507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("Sl. </w:t>
      </w:r>
      <w:proofErr w:type="spellStart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 RS", br. 43/2004)</w:t>
      </w:r>
    </w:p>
    <w:p w14:paraId="51238327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6" w:name="clan_7"/>
      <w:bookmarkEnd w:id="46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lastRenderedPageBreak/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7</w:t>
      </w:r>
    </w:p>
    <w:p w14:paraId="5A6B3F3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čamaca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usmerava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obnovu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Hilandara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F641457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13</w:t>
      </w:r>
    </w:p>
    <w:p w14:paraId="1D6D29C5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narednog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s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mobilnog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telefona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izvršenjem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tom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31.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decembra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2004.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FE82E1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9.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10.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od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januara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2004.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93C81FF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14</w:t>
      </w:r>
    </w:p>
    <w:p w14:paraId="7153C71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osmog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objavljivanja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".</w:t>
      </w:r>
    </w:p>
    <w:p w14:paraId="360A7535" w14:textId="77777777" w:rsidR="004945BF" w:rsidRPr="004945BF" w:rsidRDefault="004945BF" w:rsidP="004945BF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4A3F4BCB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Samostalni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članovi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izmenama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dopunama</w:t>
      </w:r>
      <w:proofErr w:type="spellEnd"/>
      <w:r w:rsidRPr="004945BF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br/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dobara</w:t>
      </w:r>
      <w:proofErr w:type="spellEnd"/>
    </w:p>
    <w:p w14:paraId="794B86E8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("Sl. </w:t>
      </w:r>
      <w:proofErr w:type="spellStart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 RS", br. 31/2009)</w:t>
      </w:r>
    </w:p>
    <w:p w14:paraId="61835C27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7" w:name="clan_33%5Bs1%5D"/>
      <w:bookmarkEnd w:id="47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33[s1]</w:t>
      </w:r>
    </w:p>
    <w:p w14:paraId="07733756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čamaca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letilica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2010.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decembru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2009.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stopom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rasta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malo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period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narednog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30.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novembra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2009.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podacima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republičkog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statistike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čemu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zaokruživanje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obzir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</w:t>
      </w:r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zaokružuje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deset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A1E98AF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predlog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finansija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2D4657D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8" w:name="clan_34%5Bs1%5D"/>
      <w:bookmarkEnd w:id="48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34[s1]</w:t>
      </w:r>
    </w:p>
    <w:p w14:paraId="1946462D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primenjivati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vazduhoplova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letilica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početka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27a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RS", br. 26/01, 80/02, 43/04, 132/04, 112/05, 114/06, 118/07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114/08).</w:t>
      </w:r>
    </w:p>
    <w:p w14:paraId="37FEF70D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9" w:name="clan_35%5Bs1%5D"/>
      <w:bookmarkEnd w:id="49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35[s1]</w:t>
      </w:r>
    </w:p>
    <w:p w14:paraId="4B588B3C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mobilnog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telefona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narednog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EE24AA6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0" w:name="clan_36%5Bs1%5D"/>
      <w:bookmarkEnd w:id="50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36[s1]</w:t>
      </w:r>
    </w:p>
    <w:p w14:paraId="6A56919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osmog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objavljivanja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".</w:t>
      </w:r>
    </w:p>
    <w:p w14:paraId="161BBB5A" w14:textId="77777777" w:rsidR="004945BF" w:rsidRPr="004945BF" w:rsidRDefault="004945BF" w:rsidP="004945BF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40EF2457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Samostalni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članovi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izmenama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dopunama</w:t>
      </w:r>
      <w:proofErr w:type="spellEnd"/>
      <w:r w:rsidRPr="004945BF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br/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dobara</w:t>
      </w:r>
      <w:proofErr w:type="spellEnd"/>
    </w:p>
    <w:p w14:paraId="315203BC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("Sl. </w:t>
      </w:r>
      <w:proofErr w:type="spellStart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 RS", br. 101/2010)</w:t>
      </w:r>
    </w:p>
    <w:p w14:paraId="32660CE1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1" w:name="clan_27%5Bs2%5D"/>
      <w:bookmarkEnd w:id="51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27[s2]</w:t>
      </w:r>
    </w:p>
    <w:p w14:paraId="1008D574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mobilnog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telefona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mobilne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telefonije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pripejd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korisnici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uplatu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31.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decembra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2010.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postpejd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korisnicima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budu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31.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decembra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2010.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utvrdiće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naplatiti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uplatiti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uplatni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RS", br. 26/01, 80/02, 43/04, 132/04, </w:t>
      </w: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112/05, 114/06, 118/07, 114/08, 31/09, 106/09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95/10), pod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pretnjom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novčanih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kazni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28. tog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DF18215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2" w:name="clan_28%5Bs2%5D"/>
      <w:bookmarkEnd w:id="52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28[s2]</w:t>
      </w:r>
    </w:p>
    <w:p w14:paraId="75182948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2012.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decembru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2011.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indeksom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potrošačkih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period od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narednog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30.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novembra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2011.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podacima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republičkog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statistike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čemu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zaokruživanje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obzir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</w:t>
      </w:r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zaokružuje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deset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AF49E3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predlog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finansija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565EBDC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3" w:name="clan_29%5Bs2%5D"/>
      <w:bookmarkEnd w:id="53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29[s2]</w:t>
      </w:r>
    </w:p>
    <w:p w14:paraId="42162EE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primenjivati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motornih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podtač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5)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6)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RS", br. 26/01, 80/02, 43/04, 132/04, 112/05, 114/06, 118/07, 114/08, 31/09, 106/09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95/10)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plovnih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objekata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početka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27a tog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2011.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8119DBE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4" w:name="clan_30%5Bs2%5D"/>
      <w:bookmarkEnd w:id="54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30[s2]</w:t>
      </w:r>
    </w:p>
    <w:p w14:paraId="06DD75B7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januara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2011.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8F9B256" w14:textId="77777777" w:rsidR="004945BF" w:rsidRPr="004945BF" w:rsidRDefault="004945BF" w:rsidP="004945BF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1E3B8AAD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Samostalni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izmenama</w:t>
      </w:r>
      <w:proofErr w:type="spellEnd"/>
      <w:r w:rsidRPr="004945BF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br/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dobara</w:t>
      </w:r>
      <w:proofErr w:type="spellEnd"/>
    </w:p>
    <w:p w14:paraId="6D43C505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("Sl. </w:t>
      </w:r>
      <w:proofErr w:type="spellStart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 RS", br. 24/2011)</w:t>
      </w:r>
    </w:p>
    <w:p w14:paraId="5BEA372B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5" w:name="clan_4%5Bs3%5D"/>
      <w:bookmarkEnd w:id="55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4[s3]</w:t>
      </w:r>
    </w:p>
    <w:p w14:paraId="43534B4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narednog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objavljivanja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".</w:t>
      </w:r>
    </w:p>
    <w:p w14:paraId="6D7AE642" w14:textId="77777777" w:rsidR="004945BF" w:rsidRPr="004945BF" w:rsidRDefault="004945BF" w:rsidP="004945BF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1EE07687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Samostalni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članovi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izmenama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dopunama</w:t>
      </w:r>
      <w:proofErr w:type="spellEnd"/>
      <w:r w:rsidRPr="004945BF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br/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dobara</w:t>
      </w:r>
      <w:proofErr w:type="spellEnd"/>
    </w:p>
    <w:p w14:paraId="242FD8F5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("Sl. </w:t>
      </w:r>
      <w:proofErr w:type="spellStart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 RS", br. 112/2015)</w:t>
      </w:r>
    </w:p>
    <w:p w14:paraId="5AA30685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6" w:name="clan_18%5Bs4%5D"/>
      <w:bookmarkEnd w:id="56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18[s4]</w:t>
      </w:r>
    </w:p>
    <w:p w14:paraId="3B3DFC26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Prvo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2017.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izvršiće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decembru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2016.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indeksom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potrošačkih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period od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januara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2016.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30.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novembra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2016.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podacima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republičkog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statistike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čemu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zaokruživanje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obzir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</w:t>
      </w:r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zaokružuje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deset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3FF23D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predlog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finansija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objaviti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dinarske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E0F7188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7" w:name="clan_19%5Bs4%5D"/>
      <w:bookmarkEnd w:id="57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19[s4]</w:t>
      </w:r>
    </w:p>
    <w:p w14:paraId="31835A9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Od dana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primenjivati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početka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2016.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27a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RS", br. 26/01, 80/02, 43/04, 132/04, 112/05, 114/06, 118/07, 114/08, 31/09, 106/09, 95/10, 101/10, 24/11, 100/11, 120/12, 113/13, 68/14 - dr.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140/14).</w:t>
      </w:r>
    </w:p>
    <w:p w14:paraId="1737AAE0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2016.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utvrđivaće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DA3208D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8" w:name="clan_20%5Bs4%5D"/>
      <w:bookmarkEnd w:id="58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lastRenderedPageBreak/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20[s4]</w:t>
      </w:r>
    </w:p>
    <w:p w14:paraId="06249E8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januara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2016.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5E1C089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 </w:t>
      </w:r>
    </w:p>
    <w:p w14:paraId="00A42369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Samostalni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članovi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izmenama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dopunama</w:t>
      </w:r>
      <w:proofErr w:type="spellEnd"/>
      <w:r w:rsidRPr="004945BF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br/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dobara</w:t>
      </w:r>
      <w:proofErr w:type="spellEnd"/>
    </w:p>
    <w:p w14:paraId="33EF2C3E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("Sl. </w:t>
      </w:r>
      <w:proofErr w:type="spellStart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 RS", br. 86/2019)</w:t>
      </w:r>
    </w:p>
    <w:p w14:paraId="798109BB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9" w:name="clan_11%5Bs5%5D"/>
      <w:bookmarkEnd w:id="59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11[s5]</w:t>
      </w:r>
    </w:p>
    <w:p w14:paraId="665F5403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municiji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RS", br. 9/92, 53/93 - dr.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67/93 - dr.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48/94 - dr.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44/98, 39/03, 85/05 - dr.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101/05 - dr.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27/11 - US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104/13 - dr.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za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izdata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važnost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istekla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obveznik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poreza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registrovano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vlasnik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oružja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226F019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60" w:name="clan_12%5Bs5%5D"/>
      <w:bookmarkEnd w:id="60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12[s5]</w:t>
      </w:r>
    </w:p>
    <w:p w14:paraId="5AD5D655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januara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2020.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88C6068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 </w:t>
      </w:r>
    </w:p>
    <w:p w14:paraId="1C5B5458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Samostalni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izmenama</w:t>
      </w:r>
      <w:proofErr w:type="spellEnd"/>
      <w:r w:rsidRPr="004945BF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br/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dobara</w:t>
      </w:r>
      <w:proofErr w:type="spellEnd"/>
    </w:p>
    <w:p w14:paraId="76BF7048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("Sl. </w:t>
      </w:r>
      <w:proofErr w:type="spellStart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 RS", br. 118/2021)</w:t>
      </w:r>
    </w:p>
    <w:p w14:paraId="294382D4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61" w:name="clan_3%5Bs6%5D"/>
      <w:bookmarkEnd w:id="61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3[s6]</w:t>
      </w:r>
    </w:p>
    <w:p w14:paraId="1DFEBE7B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januara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2022.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0DE48C1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 </w:t>
      </w:r>
    </w:p>
    <w:p w14:paraId="7A99E64E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Samostalni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članovi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dopuni</w:t>
      </w:r>
      <w:proofErr w:type="spellEnd"/>
      <w:r w:rsidRPr="004945BF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br/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Zakona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o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porezima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na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upotrebu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,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držanje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i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nošenje</w:t>
      </w:r>
      <w:proofErr w:type="spellEnd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en-CA"/>
          <w14:ligatures w14:val="none"/>
        </w:rPr>
        <w:t>dobara</w:t>
      </w:r>
      <w:proofErr w:type="spellEnd"/>
    </w:p>
    <w:p w14:paraId="7D254880" w14:textId="77777777" w:rsidR="004945BF" w:rsidRPr="004945BF" w:rsidRDefault="004945BF" w:rsidP="004945B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</w:pPr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("Sl. </w:t>
      </w:r>
      <w:proofErr w:type="spellStart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4945BF">
        <w:rPr>
          <w:rFonts w:ascii="Arial" w:eastAsia="Times New Roman" w:hAnsi="Arial" w:cs="Arial"/>
          <w:i/>
          <w:iCs/>
          <w:color w:val="333333"/>
          <w:kern w:val="0"/>
          <w:sz w:val="19"/>
          <w:szCs w:val="19"/>
          <w:lang w:eastAsia="en-CA"/>
          <w14:ligatures w14:val="none"/>
        </w:rPr>
        <w:t xml:space="preserve"> RS", br. 92/2023)</w:t>
      </w:r>
    </w:p>
    <w:p w14:paraId="1A5B549B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62" w:name="clan_2%5Bs7%5D"/>
      <w:bookmarkEnd w:id="62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2[s7]</w:t>
      </w:r>
    </w:p>
    <w:p w14:paraId="3CC98CC2" w14:textId="77777777" w:rsidR="004945BF" w:rsidRPr="004945BF" w:rsidRDefault="004945BF" w:rsidP="004945BF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primenjuje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marta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2024. </w:t>
      </w:r>
      <w:proofErr w:type="spellStart"/>
      <w:proofErr w:type="gram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proofErr w:type="gram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B29CF23" w14:textId="77777777" w:rsidR="004945BF" w:rsidRPr="004945BF" w:rsidRDefault="004945BF" w:rsidP="004945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63" w:name="clan_3%5Bs7%5D"/>
      <w:bookmarkEnd w:id="63"/>
      <w:proofErr w:type="spellStart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4945B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3[s7]</w:t>
      </w:r>
    </w:p>
    <w:p w14:paraId="7D080E31" w14:textId="1A88F95F" w:rsidR="00961C2E" w:rsidRPr="00CE6349" w:rsidRDefault="004945BF" w:rsidP="00CE6349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Ovaj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stupa na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snagu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osmog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objavljivanja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"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Službenom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glasniku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Republike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Srbije</w:t>
      </w:r>
      <w:proofErr w:type="spellEnd"/>
      <w:r w:rsidRPr="004945BF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".</w:t>
      </w:r>
    </w:p>
    <w:sectPr w:rsidR="00961C2E" w:rsidRPr="00CE63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0BA3"/>
    <w:multiLevelType w:val="multilevel"/>
    <w:tmpl w:val="28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05C83"/>
    <w:multiLevelType w:val="multilevel"/>
    <w:tmpl w:val="BC6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F3609"/>
    <w:multiLevelType w:val="multilevel"/>
    <w:tmpl w:val="7C8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F7E67"/>
    <w:multiLevelType w:val="multilevel"/>
    <w:tmpl w:val="F50E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71700"/>
    <w:multiLevelType w:val="multilevel"/>
    <w:tmpl w:val="053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D3F89"/>
    <w:multiLevelType w:val="multilevel"/>
    <w:tmpl w:val="428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C11A1"/>
    <w:multiLevelType w:val="multilevel"/>
    <w:tmpl w:val="E22A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E13B8"/>
    <w:multiLevelType w:val="multilevel"/>
    <w:tmpl w:val="4142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407B4"/>
    <w:multiLevelType w:val="multilevel"/>
    <w:tmpl w:val="7B8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03230"/>
    <w:multiLevelType w:val="multilevel"/>
    <w:tmpl w:val="2DC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346229">
    <w:abstractNumId w:val="8"/>
  </w:num>
  <w:num w:numId="2" w16cid:durableId="733546166">
    <w:abstractNumId w:val="3"/>
  </w:num>
  <w:num w:numId="3" w16cid:durableId="1700548961">
    <w:abstractNumId w:val="9"/>
  </w:num>
  <w:num w:numId="4" w16cid:durableId="269893708">
    <w:abstractNumId w:val="6"/>
  </w:num>
  <w:num w:numId="5" w16cid:durableId="427893066">
    <w:abstractNumId w:val="1"/>
  </w:num>
  <w:num w:numId="6" w16cid:durableId="111176322">
    <w:abstractNumId w:val="7"/>
  </w:num>
  <w:num w:numId="7" w16cid:durableId="1763988136">
    <w:abstractNumId w:val="0"/>
  </w:num>
  <w:num w:numId="8" w16cid:durableId="962535742">
    <w:abstractNumId w:val="2"/>
  </w:num>
  <w:num w:numId="9" w16cid:durableId="1899972729">
    <w:abstractNumId w:val="4"/>
  </w:num>
  <w:num w:numId="10" w16cid:durableId="731543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BF"/>
    <w:rsid w:val="0032438A"/>
    <w:rsid w:val="004945BF"/>
    <w:rsid w:val="00547629"/>
    <w:rsid w:val="0060202F"/>
    <w:rsid w:val="006104E6"/>
    <w:rsid w:val="00961C2E"/>
    <w:rsid w:val="00A67746"/>
    <w:rsid w:val="00AB6F7C"/>
    <w:rsid w:val="00C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7C32"/>
  <w15:chartTrackingRefBased/>
  <w15:docId w15:val="{68C259D8-6EF9-4F3F-9049-E9942120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29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3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00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85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377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76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83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02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7549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015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993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049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1089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280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1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974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5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8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6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9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027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12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6522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29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02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772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38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6243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2024-07-13T08:27:00Z</dcterms:created>
  <dcterms:modified xsi:type="dcterms:W3CDTF">2024-07-13T09:48:00Z</dcterms:modified>
</cp:coreProperties>
</file>